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35.png" ContentType="image/png"/>
  <Override PartName="/word/media/rId32.png" ContentType="image/png"/>
  <Override PartName="/word/media/rId3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SEAK</w:t>
      </w:r>
      <w:r>
        <w:t xml:space="preserve"> </w:t>
      </w:r>
      <w:r>
        <w:t xml:space="preserve">Pink</w:t>
      </w:r>
      <w:r>
        <w:t xml:space="preserve"> </w:t>
      </w:r>
      <w:r>
        <w:t xml:space="preserve">Salmon</w:t>
      </w:r>
      <w:r>
        <w:t xml:space="preserve"> </w:t>
      </w:r>
      <w:r>
        <w:t xml:space="preserve">Forecast</w:t>
      </w:r>
    </w:p>
    <w:p>
      <w:pPr>
        <w:pStyle w:val="Author"/>
      </w:pPr>
      <w:r>
        <w:t xml:space="preserve">Sara</w:t>
      </w:r>
      <w:r>
        <w:t xml:space="preserve"> </w:t>
      </w:r>
      <w:r>
        <w:t xml:space="preserve">Miller,</w:t>
      </w:r>
      <w:r>
        <w:t xml:space="preserve"> </w:t>
      </w:r>
      <w:r>
        <w:t xml:space="preserve">Rich</w:t>
      </w:r>
      <w:r>
        <w:t xml:space="preserve"> </w:t>
      </w:r>
      <w:r>
        <w:t xml:space="preserve">Brenner,</w:t>
      </w:r>
      <w:r>
        <w:t xml:space="preserve"> </w:t>
      </w:r>
      <w:r>
        <w:t xml:space="preserve">Jim</w:t>
      </w:r>
      <w:r>
        <w:t xml:space="preserve"> </w:t>
      </w:r>
      <w:r>
        <w:t xml:space="preserve">Murphy</w:t>
      </w:r>
    </w:p>
    <w:p>
      <w:pPr>
        <w:pStyle w:val="Date"/>
      </w:pPr>
      <w:r>
        <w:t xml:space="preserve">November</w:t>
      </w:r>
      <w:r>
        <w:t xml:space="preserve"> </w:t>
      </w:r>
      <w:r>
        <w:t xml:space="preserve">2,</w:t>
      </w:r>
      <w:r>
        <w:t xml:space="preserve"> </w:t>
      </w:r>
      <w:r>
        <w:t xml:space="preserve">2020--draft</w:t>
      </w:r>
    </w:p>
    <w:p>
      <w:pPr>
        <w:pStyle w:val="Heading1"/>
      </w:pPr>
      <w:bookmarkStart w:id="21" w:name="objective"/>
      <w:bookmarkEnd w:id="21"/>
      <w:r>
        <w:t xml:space="preserve">Objective</w:t>
      </w:r>
    </w:p>
    <w:p>
      <w:pPr>
        <w:pStyle w:val="FirstParagraph"/>
      </w:pPr>
      <w:r>
        <w:t xml:space="preserve">To forecast the Southeast Alaska (SEAK) pink salmon harvest in 2021.</w:t>
      </w:r>
    </w:p>
    <w:p>
      <w:pPr>
        <w:pStyle w:val="Heading1"/>
      </w:pPr>
      <w:bookmarkStart w:id="22" w:name="executive-summary"/>
      <w:bookmarkEnd w:id="22"/>
      <w:r>
        <w:t xml:space="preserve">Executive Summary</w:t>
      </w:r>
    </w:p>
    <w:p>
      <w:pPr>
        <w:pStyle w:val="FirstParagraph"/>
      </w:pPr>
      <w:r>
        <w:t xml:space="preserve">Forecasts were developed using an approach originally described in Wertheimer et al. (2006), and modified in Orsi et al. (2016) and Murphy et al. (2019). We used a similar approach to Murphy et al. (2019), but assumed a log-normal error. This approach is based on a multiple regression model with juvenile pink salmon catch-per-unit-effort (CPUE) and temperature data from the Southeast Alaska Coastal Monitoring Survey (SECM; Murphy et al. 2020). The final model used for the forecast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r>
            <m:t>ϵ</m:t>
          </m:r>
          <m:r>
            <m:t>,</m:t>
          </m:r>
        </m:oMath>
      </m:oMathPara>
    </w:p>
    <w:p>
      <w:pPr>
        <w:pStyle w:val="FirstParagraph"/>
      </w:pPr>
      <w:r>
        <w:t xml:space="preserve">where</w:t>
      </w:r>
      <w:r>
        <w:t xml:space="preserve"> </w:t>
      </w:r>
      <m:oMath>
        <m:r>
          <m:t>y</m:t>
        </m:r>
      </m:oMath>
      <w:r>
        <w:t xml:space="preserve"> </w:t>
      </w:r>
      <w:r>
        <w:t xml:space="preserve">is log-transformed pink salmon harvest in SEAK,</w:t>
      </w:r>
      <w:r>
        <w:t xml:space="preserve"> </w:t>
      </w:r>
      <m:oMath>
        <m:sSub>
          <m:e>
            <m:r>
              <m:t>β</m:t>
            </m:r>
          </m:e>
          <m:sub>
            <m:r>
              <m:t>1</m:t>
            </m:r>
          </m:sub>
        </m:sSub>
      </m:oMath>
      <w:r>
        <w:t xml:space="preserve"> </w:t>
      </w:r>
      <w:r>
        <w:t xml:space="preserve">is the coefficient for CPUE using the pooled-species vessel calibration coefficient,</w:t>
      </w:r>
      <w:r>
        <w:t xml:space="preserve"> </w:t>
      </w:r>
      <m:oMath>
        <m:sSub>
          <m:e>
            <m:r>
              <m:t>β</m:t>
            </m:r>
          </m:e>
          <m:sub>
            <m:r>
              <m:t>2</m:t>
            </m:r>
          </m:sub>
        </m:sSub>
      </m:oMath>
      <w:r>
        <w:t xml:space="preserve"> </w:t>
      </w:r>
      <w:r>
        <w:t xml:space="preserve">is the coefficient for the environmental covariate water temperature, and</w:t>
      </w:r>
      <w:r>
        <w:t xml:space="preserve"> </w:t>
      </w:r>
      <m:oMath>
        <m:r>
          <m:t>ϵ</m:t>
        </m:r>
      </m:oMath>
      <w:r>
        <w:t xml:space="preserve"> </w:t>
      </w:r>
      <w:r>
        <w:t xml:space="preserve">represents the lognormal error term. The CPUE data are the average log-transformed catches standardized to an effort of a 20 minute trawl set and calibrated to the fishing power of the NOAA Ship</w:t>
      </w:r>
      <w:r>
        <w:t xml:space="preserve"> </w:t>
      </w:r>
      <w:r>
        <w:rPr>
          <w:i/>
        </w:rPr>
        <w:t xml:space="preserve">John N. Cobb.</w:t>
      </w:r>
      <w:r>
        <w:t xml:space="preserve"> </w:t>
      </w:r>
      <w:r>
        <w:t xml:space="preserve">For each year, the standardized catch is either taken from June or July, whichever month had the highest average catches in a given year. Water temperature data is the average (May through July) temperature in the upper 20 m at the eight SECM stations in Icy Strait.</w:t>
      </w:r>
    </w:p>
    <w:p>
      <w:pPr>
        <w:pStyle w:val="BodyText"/>
      </w:pPr>
      <w:r>
        <w:t xml:space="preserve">Leave-one-out cross validation (hindcast) and model performance metrics were used to evaluate the forecast accuracy of models. Based on the Akaike Information Criterion corrected for small sample sizes (AICc values; Burnham and Anderson 2004), the mean absolute percentage error (MASE metric), and significant coefficients in the model, the preferred model (i.e., the additive model with CPUE and temperature; model m2) predicted that the SEAK pink salmon harvest in 2021 will be in the moderate range with a point estimate of 28.5 million fish (80% prediction interval: 19.4 to 41.7 million fish).</w:t>
      </w:r>
    </w:p>
    <w:p>
      <w:pPr>
        <w:pStyle w:val="Heading1"/>
      </w:pPr>
      <w:bookmarkStart w:id="23" w:name="forecast-models"/>
      <w:bookmarkEnd w:id="23"/>
      <w:r>
        <w:t xml:space="preserve">Forecast Models</w:t>
      </w:r>
    </w:p>
    <w:p>
      <w:pPr>
        <w:pStyle w:val="Heading2"/>
      </w:pPr>
      <w:bookmarkStart w:id="24" w:name="vessel-calibration-coefficient"/>
      <w:bookmarkEnd w:id="24"/>
      <w:r>
        <w:t xml:space="preserve">Vessel calibration coefficient</w:t>
      </w:r>
    </w:p>
    <w:p>
      <w:pPr>
        <w:pStyle w:val="FirstParagraph"/>
      </w:pPr>
      <w:r>
        <w:t xml:space="preserve">For the 2021 SEAK pink salmon forecast, there was a discussion as to which vessel calibration coefficient to use going forward (see</w:t>
      </w:r>
      <w:r>
        <w:t xml:space="preserve"> </w:t>
      </w:r>
      <w:r>
        <w:rPr>
          <w:i/>
        </w:rPr>
        <w:t xml:space="preserve">calibration_coefficient_discussion</w:t>
      </w:r>
      <w:r>
        <w:t xml:space="preserve"> </w:t>
      </w:r>
      <w:r>
        <w:t xml:space="preserve">document). Using the four potential vessel calibration coefficients (mixspecies, mixpooled, species-specific, pooled), the corresponding index of juvenile abundance was slightly different (i.e., CPUE; standardized pink salmon catch based on a 20 minute trawl set by year). Performance metrics as AICc, MASE, median absolute percentage error (MEAPE), and mean absolute scaled error (MASE; Hyndman and Kohler 2006) were used to evaluate forecast accuracy of the four alternative vessel calibration coefficients using the same model (the additive model with CPUE and temperature; model m2). Based on performance metrics, the pooled-species vessel calibration coefficient was preferred. Therefore, the index of juvenile abundance was based on the pooled-species vessel calibration coefficient in the following analysis.</w:t>
      </w:r>
    </w:p>
    <w:p>
      <w:pPr>
        <w:pStyle w:val="Heading2"/>
      </w:pPr>
      <w:bookmarkStart w:id="25" w:name="analysis"/>
      <w:bookmarkEnd w:id="25"/>
      <w:r>
        <w:t xml:space="preserve">Analysis</w:t>
      </w:r>
    </w:p>
    <w:p>
      <w:pPr>
        <w:pStyle w:val="Heading3"/>
      </w:pPr>
      <w:bookmarkStart w:id="26" w:name="hierarchical-models"/>
      <w:bookmarkEnd w:id="26"/>
      <w:r>
        <w:t xml:space="preserve">Hierarchical models</w:t>
      </w:r>
    </w:p>
    <w:p>
      <w:pPr>
        <w:pStyle w:val="FirstParagraph"/>
      </w:pPr>
      <w:r>
        <w:t xml:space="preserve">Three hierarchical models were investigated. The full model was model m3:</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1</m:t>
              </m:r>
            </m:sub>
          </m:sSub>
          <m:sSub>
            <m:e>
              <m:r>
                <m:t>X</m:t>
              </m:r>
            </m:e>
            <m:sub>
              <m:r>
                <m:t>2</m:t>
              </m:r>
            </m:sub>
          </m:sSub>
          <m:r>
            <m:t>,</m:t>
          </m:r>
        </m:oMath>
      </m:oMathPara>
    </w:p>
    <w:p>
      <w:pPr>
        <w:pStyle w:val="FirstParagraph"/>
      </w:pPr>
      <w:r>
        <w:t xml:space="preserve">where</w:t>
      </w:r>
      <w:r>
        <w:t xml:space="preserve"> </w:t>
      </w:r>
      <m:oMath>
        <m:sSub>
          <m:e>
            <m:r>
              <m:t>X</m:t>
            </m:r>
          </m:e>
          <m:sub>
            <m:r>
              <m:t>1</m:t>
            </m:r>
          </m:sub>
        </m:sSub>
      </m:oMath>
      <w:r>
        <w:t xml:space="preserve"> </w:t>
      </w:r>
      <w:r>
        <w:t xml:space="preserve">is the average CPUE for catches in either the June or July survey, whichever month had the highest average catches in a given year, and was based on the pooled-species vessel calibration coefficient, and</w:t>
      </w:r>
      <w:r>
        <w:t xml:space="preserve"> </w:t>
      </w:r>
      <m:oMath>
        <m:sSub>
          <m:e>
            <m:r>
              <m:t>X</m:t>
            </m:r>
          </m:e>
          <m:sub>
            <m:r>
              <m:t>2</m:t>
            </m:r>
          </m:sub>
        </m:sSub>
      </m:oMath>
      <w:r>
        <w:t xml:space="preserve"> </w:t>
      </w:r>
      <w:r>
        <w:t xml:space="preserve">is the average temperature in Icy Strait in May, June, and July at the eight SECM stations sampled in Icy Strait (Icy Strait and Upper Chatham transects; 'ISTI'), and</w:t>
      </w:r>
      <w:r>
        <w:t xml:space="preserve"> </w:t>
      </w:r>
      <m:oMath>
        <m:sSub>
          <m:e>
            <m:r>
              <m:t>β</m:t>
            </m:r>
          </m:e>
          <m:sub>
            <m:r>
              <m:t>3</m:t>
            </m:r>
          </m:sub>
        </m:sSub>
      </m:oMath>
      <w:r>
        <w:t xml:space="preserve"> </w:t>
      </w:r>
      <w:r>
        <w:t xml:space="preserve">is the interaction term between CPUE and the temperature index. The CPUE data are log-transformed in the model. If temperature is actually altering how CPUE is related to abundance it makes sense to restrict the temperature data to the CPUE months in the forecast model (June and July). The month of May is included as there are important migratory dynamics prior to the time juveniles are actually sampled in Icy Strait. In the past, the 'ISTI' variable was the average temperature in the upper 20 m from May to August at the eight SECM stations in Icy Strait. For simplicity, although the definition of the variable has changed, the variable is still called 'ISTI.'</w:t>
      </w:r>
    </w:p>
    <w:p>
      <w:pPr>
        <w:pStyle w:val="BodyText"/>
      </w:pPr>
      <w:r>
        <w:t xml:space="preserve">Model m1 only contained the CPUE variable, model m2 contained the CPUE variable and a temperature variable ('ISTI'), and model m3 contained the CPUE variable, a temperature variable ('ISIT'), and an interaction term. The regression coefficients CPUE and temperature ('ISTI') were significant in the first two models (m1, m2). The interaction term was not significant in the full model (model m3; Table 1). Therefore, only the first two models will be considered further.</w:t>
      </w:r>
    </w:p>
    <w:p>
      <w:pPr>
        <w:pStyle w:val="TableCaption"/>
      </w:pPr>
      <w:r>
        <w:t xml:space="preserve">Parameter estimates for the three potential models.</w:t>
      </w:r>
    </w:p>
    <w:tbl>
      <w:tblPr>
        <w:tblStyle w:val="TableNormal"/>
        <w:tblW w:type="pct" w:w="0.0"/>
        <w:tblLook w:firstRow="1"/>
        <w:tblCaption w:val="Parameter estimates for the three potential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m1</w:t>
            </w:r>
          </w:p>
        </w:tc>
        <w:tc>
          <w:p>
            <w:pPr>
              <w:pStyle w:val="Compact"/>
              <w:jc w:val="left"/>
            </w:pPr>
            <w:r>
              <w:t xml:space="preserve">(Intercept)</w:t>
            </w:r>
          </w:p>
        </w:tc>
        <w:tc>
          <w:p>
            <w:pPr>
              <w:pStyle w:val="Compact"/>
              <w:jc w:val="right"/>
            </w:pPr>
            <w:r>
              <w:t xml:space="preserve">2.289</w:t>
            </w:r>
          </w:p>
        </w:tc>
        <w:tc>
          <w:p>
            <w:pPr>
              <w:pStyle w:val="Compact"/>
              <w:jc w:val="right"/>
            </w:pPr>
            <w:r>
              <w:t xml:space="preserve">0.208</w:t>
            </w:r>
          </w:p>
        </w:tc>
        <w:tc>
          <w:p>
            <w:pPr>
              <w:pStyle w:val="Compact"/>
              <w:jc w:val="right"/>
            </w:pPr>
            <w:r>
              <w:t xml:space="preserve">11.019</w:t>
            </w:r>
          </w:p>
        </w:tc>
        <w:tc>
          <w:p>
            <w:pPr>
              <w:pStyle w:val="Compact"/>
              <w:jc w:val="right"/>
            </w:pPr>
            <w:r>
              <w:t xml:space="preserve">0.000</w:t>
            </w:r>
          </w:p>
        </w:tc>
      </w:tr>
      <w:tr>
        <w:tc>
          <w:p>
            <w:pPr>
              <w:pStyle w:val="Compact"/>
              <w:jc w:val="left"/>
            </w:pPr>
            <w:r>
              <w:t xml:space="preserve">m1</w:t>
            </w:r>
          </w:p>
        </w:tc>
        <w:tc>
          <w:p>
            <w:pPr>
              <w:pStyle w:val="Compact"/>
              <w:jc w:val="left"/>
            </w:pPr>
            <w:r>
              <w:t xml:space="preserve">CPUE</w:t>
            </w:r>
          </w:p>
        </w:tc>
        <w:tc>
          <w:p>
            <w:pPr>
              <w:pStyle w:val="Compact"/>
              <w:jc w:val="right"/>
            </w:pPr>
            <w:r>
              <w:t xml:space="preserve">0.438</w:t>
            </w:r>
          </w:p>
        </w:tc>
        <w:tc>
          <w:p>
            <w:pPr>
              <w:pStyle w:val="Compact"/>
              <w:jc w:val="right"/>
            </w:pPr>
            <w:r>
              <w:t xml:space="preserve">0.071</w:t>
            </w:r>
          </w:p>
        </w:tc>
        <w:tc>
          <w:p>
            <w:pPr>
              <w:pStyle w:val="Compact"/>
              <w:jc w:val="right"/>
            </w:pPr>
            <w:r>
              <w:t xml:space="preserve">6.157</w:t>
            </w:r>
          </w:p>
        </w:tc>
        <w:tc>
          <w:p>
            <w:pPr>
              <w:pStyle w:val="Compact"/>
              <w:jc w:val="right"/>
            </w:pPr>
            <w:r>
              <w:t xml:space="preserve">0.000</w:t>
            </w:r>
          </w:p>
        </w:tc>
      </w:tr>
      <w:tr>
        <w:tc>
          <w:p>
            <w:pPr>
              <w:pStyle w:val="Compact"/>
              <w:jc w:val="left"/>
            </w:pPr>
            <w:r>
              <w:t xml:space="preserve">m2</w:t>
            </w:r>
          </w:p>
        </w:tc>
        <w:tc>
          <w:p>
            <w:pPr>
              <w:pStyle w:val="Compact"/>
              <w:jc w:val="left"/>
            </w:pPr>
            <w:r>
              <w:t xml:space="preserve">(Intercept)</w:t>
            </w:r>
          </w:p>
        </w:tc>
        <w:tc>
          <w:p>
            <w:pPr>
              <w:pStyle w:val="Compact"/>
              <w:jc w:val="right"/>
            </w:pPr>
            <w:r>
              <w:t xml:space="preserve">7.077</w:t>
            </w:r>
          </w:p>
        </w:tc>
        <w:tc>
          <w:p>
            <w:pPr>
              <w:pStyle w:val="Compact"/>
              <w:jc w:val="right"/>
            </w:pPr>
            <w:r>
              <w:t xml:space="preserve">0.945</w:t>
            </w:r>
          </w:p>
        </w:tc>
        <w:tc>
          <w:p>
            <w:pPr>
              <w:pStyle w:val="Compact"/>
              <w:jc w:val="right"/>
            </w:pPr>
            <w:r>
              <w:t xml:space="preserve">7.486</w:t>
            </w:r>
          </w:p>
        </w:tc>
        <w:tc>
          <w:p>
            <w:pPr>
              <w:pStyle w:val="Compact"/>
              <w:jc w:val="right"/>
            </w:pPr>
            <w:r>
              <w:t xml:space="preserve">0.000</w:t>
            </w:r>
          </w:p>
        </w:tc>
      </w:tr>
      <w:tr>
        <w:tc>
          <w:p>
            <w:pPr>
              <w:pStyle w:val="Compact"/>
              <w:jc w:val="left"/>
            </w:pPr>
            <w:r>
              <w:t xml:space="preserve">m2</w:t>
            </w:r>
          </w:p>
        </w:tc>
        <w:tc>
          <w:p>
            <w:pPr>
              <w:pStyle w:val="Compact"/>
              <w:jc w:val="left"/>
            </w:pPr>
            <w:r>
              <w:t xml:space="preserve">CPUE</w:t>
            </w:r>
          </w:p>
        </w:tc>
        <w:tc>
          <w:p>
            <w:pPr>
              <w:pStyle w:val="Compact"/>
              <w:jc w:val="right"/>
            </w:pPr>
            <w:r>
              <w:t xml:space="preserve">0.507</w:t>
            </w:r>
          </w:p>
        </w:tc>
        <w:tc>
          <w:p>
            <w:pPr>
              <w:pStyle w:val="Compact"/>
              <w:jc w:val="right"/>
            </w:pPr>
            <w:r>
              <w:t xml:space="preserve">0.050</w:t>
            </w:r>
          </w:p>
        </w:tc>
        <w:tc>
          <w:p>
            <w:pPr>
              <w:pStyle w:val="Compact"/>
              <w:jc w:val="right"/>
            </w:pPr>
            <w:r>
              <w:t xml:space="preserve">10.176</w:t>
            </w:r>
          </w:p>
        </w:tc>
        <w:tc>
          <w:p>
            <w:pPr>
              <w:pStyle w:val="Compact"/>
              <w:jc w:val="right"/>
            </w:pPr>
            <w:r>
              <w:t xml:space="preserve">0.000</w:t>
            </w:r>
          </w:p>
        </w:tc>
      </w:tr>
      <w:tr>
        <w:tc>
          <w:p>
            <w:pPr>
              <w:pStyle w:val="Compact"/>
              <w:jc w:val="left"/>
            </w:pPr>
            <w:r>
              <w:t xml:space="preserve">m2</w:t>
            </w:r>
          </w:p>
        </w:tc>
        <w:tc>
          <w:p>
            <w:pPr>
              <w:pStyle w:val="Compact"/>
              <w:jc w:val="left"/>
            </w:pPr>
            <w:r>
              <w:t xml:space="preserve">ISTI</w:t>
            </w:r>
          </w:p>
        </w:tc>
        <w:tc>
          <w:p>
            <w:pPr>
              <w:pStyle w:val="Compact"/>
              <w:jc w:val="right"/>
            </w:pPr>
            <w:r>
              <w:t xml:space="preserve">-0.546</w:t>
            </w:r>
          </w:p>
        </w:tc>
        <w:tc>
          <w:p>
            <w:pPr>
              <w:pStyle w:val="Compact"/>
              <w:jc w:val="right"/>
            </w:pPr>
            <w:r>
              <w:t xml:space="preserve">0.107</w:t>
            </w:r>
          </w:p>
        </w:tc>
        <w:tc>
          <w:p>
            <w:pPr>
              <w:pStyle w:val="Compact"/>
              <w:jc w:val="right"/>
            </w:pPr>
            <w:r>
              <w:t xml:space="preserve">-5.121</w:t>
            </w:r>
          </w:p>
        </w:tc>
        <w:tc>
          <w:p>
            <w:pPr>
              <w:pStyle w:val="Compact"/>
              <w:jc w:val="right"/>
            </w:pPr>
            <w:r>
              <w:t xml:space="preserve">0.000</w:t>
            </w:r>
          </w:p>
        </w:tc>
      </w:tr>
      <w:tr>
        <w:tc>
          <w:p>
            <w:pPr>
              <w:pStyle w:val="Compact"/>
              <w:jc w:val="left"/>
            </w:pPr>
            <w:r>
              <w:t xml:space="preserve">m3</w:t>
            </w:r>
          </w:p>
        </w:tc>
        <w:tc>
          <w:p>
            <w:pPr>
              <w:pStyle w:val="Compact"/>
              <w:jc w:val="left"/>
            </w:pPr>
            <w:r>
              <w:t xml:space="preserve">(Intercept)</w:t>
            </w:r>
          </w:p>
        </w:tc>
        <w:tc>
          <w:p>
            <w:pPr>
              <w:pStyle w:val="Compact"/>
              <w:jc w:val="right"/>
            </w:pPr>
            <w:r>
              <w:t xml:space="preserve">3.832</w:t>
            </w:r>
          </w:p>
        </w:tc>
        <w:tc>
          <w:p>
            <w:pPr>
              <w:pStyle w:val="Compact"/>
              <w:jc w:val="right"/>
            </w:pPr>
            <w:r>
              <w:t xml:space="preserve">2.321</w:t>
            </w:r>
          </w:p>
        </w:tc>
        <w:tc>
          <w:p>
            <w:pPr>
              <w:pStyle w:val="Compact"/>
              <w:jc w:val="right"/>
            </w:pPr>
            <w:r>
              <w:t xml:space="preserve">1.651</w:t>
            </w:r>
          </w:p>
        </w:tc>
        <w:tc>
          <w:p>
            <w:pPr>
              <w:pStyle w:val="Compact"/>
              <w:jc w:val="right"/>
            </w:pPr>
            <w:r>
              <w:t xml:space="preserve">0.115</w:t>
            </w:r>
          </w:p>
        </w:tc>
      </w:tr>
      <w:tr>
        <w:tc>
          <w:p>
            <w:pPr>
              <w:pStyle w:val="Compact"/>
              <w:jc w:val="left"/>
            </w:pPr>
            <w:r>
              <w:t xml:space="preserve">m3</w:t>
            </w:r>
          </w:p>
        </w:tc>
        <w:tc>
          <w:p>
            <w:pPr>
              <w:pStyle w:val="Compact"/>
              <w:jc w:val="left"/>
            </w:pPr>
            <w:r>
              <w:t xml:space="preserve">CPUE</w:t>
            </w:r>
          </w:p>
        </w:tc>
        <w:tc>
          <w:p>
            <w:pPr>
              <w:pStyle w:val="Compact"/>
              <w:jc w:val="right"/>
            </w:pPr>
            <w:r>
              <w:t xml:space="preserve">1.789</w:t>
            </w:r>
          </w:p>
        </w:tc>
        <w:tc>
          <w:p>
            <w:pPr>
              <w:pStyle w:val="Compact"/>
              <w:jc w:val="right"/>
            </w:pPr>
            <w:r>
              <w:t xml:space="preserve">0.844</w:t>
            </w:r>
          </w:p>
        </w:tc>
        <w:tc>
          <w:p>
            <w:pPr>
              <w:pStyle w:val="Compact"/>
              <w:jc w:val="right"/>
            </w:pPr>
            <w:r>
              <w:t xml:space="preserve">2.119</w:t>
            </w:r>
          </w:p>
        </w:tc>
        <w:tc>
          <w:p>
            <w:pPr>
              <w:pStyle w:val="Compact"/>
              <w:jc w:val="right"/>
            </w:pPr>
            <w:r>
              <w:t xml:space="preserve">0.047</w:t>
            </w:r>
          </w:p>
        </w:tc>
      </w:tr>
      <w:tr>
        <w:tc>
          <w:p>
            <w:pPr>
              <w:pStyle w:val="Compact"/>
              <w:jc w:val="left"/>
            </w:pPr>
            <w:r>
              <w:t xml:space="preserve">m3</w:t>
            </w:r>
          </w:p>
        </w:tc>
        <w:tc>
          <w:p>
            <w:pPr>
              <w:pStyle w:val="Compact"/>
              <w:jc w:val="left"/>
            </w:pPr>
            <w:r>
              <w:t xml:space="preserve">ISTI</w:t>
            </w:r>
          </w:p>
        </w:tc>
        <w:tc>
          <w:p>
            <w:pPr>
              <w:pStyle w:val="Compact"/>
              <w:jc w:val="right"/>
            </w:pPr>
            <w:r>
              <w:t xml:space="preserve">-0.193</w:t>
            </w:r>
          </w:p>
        </w:tc>
        <w:tc>
          <w:p>
            <w:pPr>
              <w:pStyle w:val="Compact"/>
              <w:jc w:val="right"/>
            </w:pPr>
            <w:r>
              <w:t xml:space="preserve">0.254</w:t>
            </w:r>
          </w:p>
        </w:tc>
        <w:tc>
          <w:p>
            <w:pPr>
              <w:pStyle w:val="Compact"/>
              <w:jc w:val="right"/>
            </w:pPr>
            <w:r>
              <w:t xml:space="preserve">-0.757</w:t>
            </w:r>
          </w:p>
        </w:tc>
        <w:tc>
          <w:p>
            <w:pPr>
              <w:pStyle w:val="Compact"/>
              <w:jc w:val="right"/>
            </w:pPr>
            <w:r>
              <w:t xml:space="preserve">0.458</w:t>
            </w:r>
          </w:p>
        </w:tc>
      </w:tr>
      <w:tr>
        <w:tc>
          <w:p>
            <w:pPr>
              <w:pStyle w:val="Compact"/>
              <w:jc w:val="left"/>
            </w:pPr>
            <w:r>
              <w:t xml:space="preserve">m3</w:t>
            </w:r>
          </w:p>
        </w:tc>
        <w:tc>
          <w:p>
            <w:pPr>
              <w:pStyle w:val="Compact"/>
              <w:jc w:val="left"/>
            </w:pPr>
            <w:r>
              <w:t xml:space="preserve">CPUE:ISTI</w:t>
            </w:r>
          </w:p>
        </w:tc>
        <w:tc>
          <w:p>
            <w:pPr>
              <w:pStyle w:val="Compact"/>
              <w:jc w:val="right"/>
            </w:pPr>
            <w:r>
              <w:t xml:space="preserve">-0.139</w:t>
            </w:r>
          </w:p>
        </w:tc>
        <w:tc>
          <w:p>
            <w:pPr>
              <w:pStyle w:val="Compact"/>
              <w:jc w:val="right"/>
            </w:pPr>
            <w:r>
              <w:t xml:space="preserve">0.091</w:t>
            </w:r>
          </w:p>
        </w:tc>
        <w:tc>
          <w:p>
            <w:pPr>
              <w:pStyle w:val="Compact"/>
              <w:jc w:val="right"/>
            </w:pPr>
            <w:r>
              <w:t xml:space="preserve">-1.522</w:t>
            </w:r>
          </w:p>
        </w:tc>
        <w:tc>
          <w:p>
            <w:pPr>
              <w:pStyle w:val="Compact"/>
              <w:jc w:val="right"/>
            </w:pPr>
            <w:r>
              <w:t xml:space="preserve">0.145</w:t>
            </w:r>
          </w:p>
        </w:tc>
      </w:tr>
    </w:tbl>
    <w:p>
      <w:pPr>
        <w:pStyle w:val="Heading3"/>
      </w:pPr>
      <w:bookmarkStart w:id="27" w:name="preferred-model-model-m2"/>
      <w:bookmarkEnd w:id="27"/>
      <w:r>
        <w:t xml:space="preserve">Preferred model (model m2)</w:t>
      </w:r>
    </w:p>
    <w:p>
      <w:pPr>
        <w:pStyle w:val="FirstParagraph"/>
      </w:pPr>
      <w:r>
        <w:t xml:space="preserve">The model summary results using the performance metrics AICc, MAPE, MEAPE, and MASE (Hyndman and Kohler 2006) are shown in Table 2. For all of these metrics, the smallest value is the preferred model. The difference (</w:t>
      </w:r>
      <m:oMath>
        <m:sSub>
          <m:e>
            <m:r>
              <m:t>Δ</m:t>
            </m:r>
          </m:e>
          <m:sub>
            <m:r>
              <m:t>i</m:t>
            </m:r>
          </m:sub>
        </m:sSub>
      </m:oMath>
      <w:r>
        <w:t xml:space="preserve">) between a given model and the model with the lowest AICc value, and the metric MASE were the primary statistics for choosing appropriate models in this analysis. Models with AICc</w:t>
      </w:r>
      <m:oMath>
        <m:sSub>
          <m:e>
            <m:r>
              <m:t>Δ</m:t>
            </m:r>
          </m:e>
          <m:sub>
            <m:r>
              <m:t>i</m:t>
            </m:r>
          </m:sub>
        </m:sSub>
      </m:oMath>
      <w:r>
        <w:t xml:space="preserve"> </w:t>
      </w:r>
      <m:oMath>
        <m:r>
          <m:t>≤</m:t>
        </m:r>
      </m:oMath>
      <w:r>
        <w:t xml:space="preserve"> </w:t>
      </w:r>
      <w:r>
        <w:t xml:space="preserve">2 have substantial support, those in which 4</w:t>
      </w:r>
      <w:r>
        <w:t xml:space="preserve"> </w:t>
      </w:r>
      <m:oMath>
        <m:r>
          <m:t>≤</m:t>
        </m:r>
      </m:oMath>
      <w:r>
        <w:t xml:space="preserve"> </w:t>
      </w:r>
      <w:r>
        <w:t xml:space="preserve">AICc</w:t>
      </w:r>
      <m:oMath>
        <m:sSub>
          <m:e>
            <m:r>
              <m:t>Δ</m:t>
            </m:r>
          </m:e>
          <m:sub>
            <m:r>
              <m:t>i</m:t>
            </m:r>
          </m:sub>
        </m:sSub>
      </m:oMath>
      <w:r>
        <w:t xml:space="preserve"> </w:t>
      </w:r>
      <m:oMath>
        <m:r>
          <m:t>≤</m:t>
        </m:r>
      </m:oMath>
      <w:r>
        <w:t xml:space="preserve"> </w:t>
      </w:r>
      <w:r>
        <w:t xml:space="preserve">7 have considerably less support, and models with AICc</w:t>
      </w:r>
      <m:oMath>
        <m:sSub>
          <m:e>
            <m:r>
              <m:t>Δ</m:t>
            </m:r>
          </m:e>
          <m:sub>
            <m:r>
              <m:t>i</m:t>
            </m:r>
          </m:sub>
        </m:sSub>
      </m:oMath>
      <w:r>
        <w:t xml:space="preserve"> </w:t>
      </w:r>
      <w:r>
        <w:t xml:space="preserve">&gt; 10 have essentially no support (Burnham and Anderson 2004). The two performance metrics (i.e., AICc, MASE) suggest that model m2 is the preferred model. Therefore, model m2 (based on CPUE and average temperature in May through July ('ISIT')) was used to forecast the 2021 pink salmon harvest (Figure 1).</w:t>
      </w:r>
    </w:p>
    <w:p>
      <w:pPr>
        <w:pStyle w:val="TableCaption"/>
      </w:pPr>
      <w:r>
        <w:t xml:space="preserve">Summary of model outputs and forecast error measures.</w:t>
      </w:r>
    </w:p>
    <w:tbl>
      <w:tblPr>
        <w:tblStyle w:val="TableNormal"/>
        <w:tblW w:type="pct" w:w="0.0"/>
        <w:tblLook w:firstRow="1"/>
        <w:tblCaption w:val="Summary of model outputs and forecast error measure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terms</w:t>
            </w:r>
          </w:p>
        </w:tc>
        <w:tc>
          <w:tcPr>
            <w:tcBorders>
              <w:bottom w:val="single"/>
            </w:tcBorders>
            <w:vAlign w:val="bottom"/>
          </w:tcPr>
          <w:p>
            <w:pPr>
              <w:pStyle w:val="Compact"/>
              <w:jc w:val="right"/>
            </w:pPr>
            <w:r>
              <w:t xml:space="preserve">AdjR2</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MEAPE</w:t>
            </w:r>
          </w:p>
        </w:tc>
        <w:tc>
          <w:tcPr>
            <w:tcBorders>
              <w:bottom w:val="single"/>
            </w:tcBorders>
            <w:vAlign w:val="bottom"/>
          </w:tcPr>
          <w:p>
            <w:pPr>
              <w:pStyle w:val="Compact"/>
              <w:jc w:val="right"/>
            </w:pPr>
            <w:r>
              <w:t xml:space="preserve">MASE</w:t>
            </w:r>
          </w:p>
        </w:tc>
      </w:tr>
      <w:tr>
        <w:tc>
          <w:p>
            <w:pPr>
              <w:pStyle w:val="Compact"/>
              <w:jc w:val="left"/>
            </w:pPr>
            <w:r>
              <w:t xml:space="preserve">m1</w:t>
            </w:r>
          </w:p>
        </w:tc>
        <w:tc>
          <w:p>
            <w:pPr>
              <w:pStyle w:val="Compact"/>
              <w:jc w:val="left"/>
            </w:pPr>
            <w:r>
              <w:t xml:space="preserve">CPUE</w:t>
            </w:r>
          </w:p>
        </w:tc>
        <w:tc>
          <w:p>
            <w:pPr>
              <w:pStyle w:val="Compact"/>
              <w:jc w:val="right"/>
            </w:pPr>
            <w:r>
              <w:t xml:space="preserve">0.627</w:t>
            </w:r>
          </w:p>
        </w:tc>
        <w:tc>
          <w:p>
            <w:pPr>
              <w:pStyle w:val="Compact"/>
              <w:jc w:val="right"/>
            </w:pPr>
            <w:r>
              <w:t xml:space="preserve">30</w:t>
            </w:r>
          </w:p>
        </w:tc>
        <w:tc>
          <w:p>
            <w:pPr>
              <w:pStyle w:val="Compact"/>
              <w:jc w:val="right"/>
            </w:pPr>
            <w:r>
              <w:t xml:space="preserve">0.116</w:t>
            </w:r>
          </w:p>
        </w:tc>
        <w:tc>
          <w:p>
            <w:pPr>
              <w:pStyle w:val="Compact"/>
              <w:jc w:val="right"/>
            </w:pPr>
            <w:r>
              <w:t xml:space="preserve">0.105</w:t>
            </w:r>
          </w:p>
        </w:tc>
        <w:tc>
          <w:p>
            <w:pPr>
              <w:pStyle w:val="Compact"/>
              <w:jc w:val="right"/>
            </w:pPr>
            <w:r>
              <w:t xml:space="preserve">0.399</w:t>
            </w:r>
          </w:p>
        </w:tc>
      </w:tr>
      <w:tr>
        <w:tc>
          <w:p>
            <w:pPr>
              <w:pStyle w:val="Compact"/>
              <w:jc w:val="left"/>
            </w:pPr>
            <w:r>
              <w:t xml:space="preserve">m2</w:t>
            </w:r>
          </w:p>
        </w:tc>
        <w:tc>
          <w:p>
            <w:pPr>
              <w:pStyle w:val="Compact"/>
              <w:jc w:val="left"/>
            </w:pPr>
            <w:r>
              <w:t xml:space="preserve">CPUE+ISTI</w:t>
            </w:r>
          </w:p>
        </w:tc>
        <w:tc>
          <w:p>
            <w:pPr>
              <w:pStyle w:val="Compact"/>
              <w:jc w:val="right"/>
            </w:pPr>
            <w:r>
              <w:t xml:space="preserve">0.830</w:t>
            </w:r>
          </w:p>
        </w:tc>
        <w:tc>
          <w:p>
            <w:pPr>
              <w:pStyle w:val="Compact"/>
              <w:jc w:val="right"/>
            </w:pPr>
            <w:r>
              <w:t xml:space="preserve">14</w:t>
            </w:r>
          </w:p>
        </w:tc>
        <w:tc>
          <w:p>
            <w:pPr>
              <w:pStyle w:val="Compact"/>
              <w:jc w:val="right"/>
            </w:pPr>
            <w:r>
              <w:t xml:space="preserve">0.074</w:t>
            </w:r>
          </w:p>
        </w:tc>
        <w:tc>
          <w:p>
            <w:pPr>
              <w:pStyle w:val="Compact"/>
              <w:jc w:val="right"/>
            </w:pPr>
            <w:r>
              <w:t xml:space="preserve">0.060</w:t>
            </w:r>
          </w:p>
        </w:tc>
        <w:tc>
          <w:p>
            <w:pPr>
              <w:pStyle w:val="Compact"/>
              <w:jc w:val="right"/>
            </w:pPr>
            <w:r>
              <w:t xml:space="preserve">0.249</w:t>
            </w:r>
          </w:p>
        </w:tc>
      </w:tr>
    </w:tbl>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index4/results//figs/cpue_temp.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1: Relationship between a) CPUE and harvest and b) average temperature in May through July ('ISTI') and harvest. The line is a smoothing function applied to the relationship with a 95% confidence interval.</w:t>
      </w:r>
    </w:p>
    <w:p>
      <w:pPr>
        <w:pStyle w:val="Heading2"/>
      </w:pPr>
      <w:bookmarkStart w:id="29" w:name="model-diagnostics"/>
      <w:bookmarkEnd w:id="29"/>
      <w:r>
        <w:t xml:space="preserve">Model Diagnostics</w:t>
      </w:r>
    </w:p>
    <w:p>
      <w:pPr>
        <w:pStyle w:val="FirstParagraph"/>
      </w:pPr>
      <w:r>
        <w:t xml:space="preserve">Model diagnostics for model m2 included residual plots, the curvature test, and influential observation diagnostics using Cook's distance (Cook 1977), the Bonferroni outlier test, and leverage plots. Model diagnostics were used to identify observations that were potential outliers, had high leverage, or were influential (Zhang 2016). These observations may have significant impact on model fitting and may need to be excluded.</w:t>
      </w:r>
    </w:p>
    <w:p>
      <w:pPr>
        <w:pStyle w:val="Heading3"/>
      </w:pPr>
      <w:bookmarkStart w:id="30" w:name="cooks-distance"/>
      <w:bookmarkEnd w:id="30"/>
      <w:r>
        <w:t xml:space="preserve">Cook's distance</w:t>
      </w:r>
    </w:p>
    <w:p>
      <w:pPr>
        <w:pStyle w:val="FirstParagraph"/>
      </w:pPr>
      <w:r>
        <w:t xml:space="preserve">Cook's distance is a measure of influence, or the product of both leverage and outlier. Cook's distance,</w:t>
      </w:r>
    </w:p>
    <w:p>
      <w:pPr>
        <w:pStyle w:val="BodyText"/>
      </w:pPr>
      <m:oMathPara>
        <m:oMathParaPr>
          <m:jc m:val="center"/>
        </m:oMathParaPr>
        <m:oMath>
          <m:sSub>
            <m:e>
              <m:r>
                <m:t>D</m:t>
              </m:r>
            </m:e>
            <m:sub>
              <m:r>
                <m:t>i</m:t>
              </m:r>
            </m:sub>
          </m:sSub>
          <m:r>
            <m:t>=</m:t>
          </m:r>
          <m:r>
            <m:t> </m:t>
          </m:r>
          <m:f>
            <m:fPr>
              <m:type m:val="bar"/>
            </m:fPr>
            <m:num>
              <m:sSubSup>
                <m:e>
                  <m:r>
                    <m:t>e</m:t>
                  </m:r>
                </m:e>
                <m:sub>
                  <m:r>
                    <m:t>P</m:t>
                  </m:r>
                  <m:r>
                    <m:t>S</m:t>
                  </m:r>
                  <m:r>
                    <m:t>i</m:t>
                  </m:r>
                </m:sub>
                <m:sup>
                  <m:r>
                    <m:t>2</m:t>
                  </m:r>
                </m:sup>
              </m:sSubSup>
            </m:num>
            <m:den>
              <m:r>
                <m:t>k</m:t>
              </m:r>
              <m:r>
                <m:t>+</m:t>
              </m:r>
              <m:r>
                <m:t>1</m:t>
              </m:r>
            </m:den>
          </m:f>
          <m:r>
            <m:t>*</m:t>
          </m:r>
          <m:f>
            <m:fPr>
              <m:type m:val="bar"/>
            </m:fPr>
            <m:num>
              <m:sSub>
                <m:e>
                  <m:r>
                    <m:t>h</m:t>
                  </m:r>
                </m:e>
                <m:sub>
                  <m:r>
                    <m:t>i</m:t>
                  </m:r>
                </m:sub>
              </m:sSub>
            </m:num>
            <m:den>
              <m:r>
                <m:t>1</m:t>
              </m:r>
              <m:r>
                <m:t>−</m:t>
              </m:r>
              <m:sSub>
                <m:e>
                  <m:r>
                    <m:t>h</m:t>
                  </m:r>
                </m:e>
                <m:sub>
                  <m:r>
                    <m:t>i</m:t>
                  </m:r>
                </m:sub>
              </m:sSub>
            </m:den>
          </m:f>
          <m:r>
            <m:t>,</m:t>
          </m:r>
        </m:oMath>
      </m:oMathPara>
    </w:p>
    <w:p>
      <w:pPr>
        <w:pStyle w:val="FirstParagraph"/>
      </w:pPr>
      <w:r>
        <w:br w:type="textWrapping"/>
      </w:r>
      <w:r>
        <w:t xml:space="preserve">where</w:t>
      </w:r>
      <w:r>
        <w:t xml:space="preserve"> </w:t>
      </w:r>
      <m:oMath>
        <m:sSubSup>
          <m:e>
            <m:r>
              <m:t>e</m:t>
            </m:r>
          </m:e>
          <m:sub>
            <m:r>
              <m:t>P</m:t>
            </m:r>
            <m:r>
              <m:t>S</m:t>
            </m:r>
            <m:r>
              <m:t>i</m:t>
            </m:r>
          </m:sub>
          <m:sup>
            <m:r>
              <m:t>2</m:t>
            </m:r>
          </m:sup>
        </m:sSubSup>
      </m:oMath>
      <w:r>
        <w:t xml:space="preserve"> </w:t>
      </w:r>
      <w:r>
        <w:t xml:space="preserve">is the standardized Pearson residuals,</w:t>
      </w:r>
      <w:r>
        <w:t xml:space="preserve"> </w:t>
      </w:r>
      <m:oMath>
        <m:sSub>
          <m:e>
            <m:r>
              <m:t>h</m:t>
            </m:r>
          </m:e>
          <m:sub>
            <m:r>
              <m:t>i</m:t>
            </m:r>
          </m:sub>
        </m:sSub>
      </m:oMath>
      <w:r>
        <w:t xml:space="preserve"> </w:t>
      </w:r>
      <w:r>
        <w:t xml:space="preserve">are the hat values (measure of leverage), and</w:t>
      </w:r>
      <w:r>
        <w:t xml:space="preserve"> </w:t>
      </w:r>
      <m:oMath>
        <m:r>
          <m:t>k</m:t>
        </m:r>
      </m:oMath>
      <w:r>
        <w:t xml:space="preserve"> </w:t>
      </w:r>
      <w:r>
        <w:t xml:space="preserve">is the number of predictor variables in the model, is a measure of overall influence of the</w:t>
      </w:r>
      <w:r>
        <w:t xml:space="preserve"> </w:t>
      </w:r>
      <m:oMath>
        <m:sSub>
          <m:e>
            <m:r>
              <m:t>i</m:t>
            </m:r>
          </m:e>
          <m:sub>
            <m:r>
              <m:t>t</m:t>
            </m:r>
            <m:r>
              <m:t>h</m:t>
            </m:r>
          </m:sub>
        </m:sSub>
      </m:oMath>
      <w:r>
        <w:t xml:space="preserve"> </w:t>
      </w:r>
      <w:r>
        <w:t xml:space="preserve">data point on all</w:t>
      </w:r>
      <w:r>
        <w:t xml:space="preserve"> </w:t>
      </w:r>
      <m:oMath>
        <m:r>
          <m:t>n</m:t>
        </m:r>
      </m:oMath>
      <w:r>
        <w:t xml:space="preserve"> </w:t>
      </w:r>
      <w:r>
        <w:t xml:space="preserve">fitted values (Fox and Weisburg 2019). A large value of Cook's distance indicates that the data point is an influential observation. Cook's distance values greater than</w:t>
      </w:r>
      <w:r>
        <w:t xml:space="preserve"> </w:t>
      </w:r>
      <m:oMath>
        <m:r>
          <m:t>4</m:t>
        </m:r>
        <m:r>
          <m:t>/</m:t>
        </m:r>
        <m:r>
          <m:t>(</m:t>
        </m:r>
        <m:r>
          <m:t>n</m:t>
        </m:r>
        <m:r>
          <m:t>−</m:t>
        </m:r>
        <m:r>
          <m:t>k</m:t>
        </m:r>
        <m:r>
          <m:t>−</m:t>
        </m:r>
        <m:r>
          <m:t>1</m:t>
        </m:r>
        <m:r>
          <m:t>)</m:t>
        </m:r>
      </m:oMath>
      <w:r>
        <w:t xml:space="preserve">, where</w:t>
      </w:r>
      <w:r>
        <w:t xml:space="preserve"> </w:t>
      </w:r>
      <m:oMath>
        <m:r>
          <m:t>n</m:t>
        </m:r>
      </m:oMath>
      <w:r>
        <w:t xml:space="preserve"> </w:t>
      </w:r>
      <w:r>
        <w:t xml:space="preserve">is the number of observations (i.e., 23), was used as a benchmark for identifying the subset of influential observations (Ren et al. 2016). Therefore, a Cook's distance cut-off of 0.20 was used; observations with a Cook's distance greater than 0.20 were investigated further (Figure 2a).</w:t>
      </w:r>
    </w:p>
    <w:p>
      <w:pPr>
        <w:pStyle w:val="Heading3"/>
      </w:pPr>
      <w:bookmarkStart w:id="31" w:name="leverage"/>
      <w:bookmarkEnd w:id="31"/>
      <w:r>
        <w:t xml:space="preserve">Leverage</w:t>
      </w:r>
    </w:p>
    <w:p>
      <w:pPr>
        <w:pStyle w:val="FirstParagraph"/>
      </w:pPr>
      <w:r>
        <w:t xml:space="preserve">An observation that is distant from the average covariate pattern is considered to have high leverage or hat-value. If an individual observation has a leverage value</w:t>
      </w:r>
      <w:r>
        <w:t xml:space="preserve"> </w:t>
      </w:r>
      <m:oMath>
        <m:sSub>
          <m:e>
            <m:r>
              <m:t>h</m:t>
            </m:r>
          </m:e>
          <m:sub>
            <m:r>
              <m:t>i</m:t>
            </m:r>
          </m:sub>
        </m:sSub>
      </m:oMath>
      <w:r>
        <w:t xml:space="preserve"> </w:t>
      </w:r>
      <w:r>
        <w:t xml:space="preserve">greater than 2 or 3 times</w:t>
      </w:r>
      <w:r>
        <w:t xml:space="preserve"> </w:t>
      </w:r>
      <m:oMath>
        <m:r>
          <m:t>p</m:t>
        </m:r>
        <m:r>
          <m:t>/</m:t>
        </m:r>
        <m:r>
          <m:t>n</m:t>
        </m:r>
      </m:oMath>
      <w:r>
        <w:t xml:space="preserve"> </w:t>
      </w:r>
      <w:r>
        <w:t xml:space="preserve">(Ren et al. 2016), it may be a concern (where</w:t>
      </w:r>
      <w:r>
        <w:t xml:space="preserve"> </w:t>
      </w:r>
      <m:oMath>
        <m:r>
          <m:t>p</m:t>
        </m:r>
      </m:oMath>
      <w:r>
        <w:t xml:space="preserve"> </w:t>
      </w:r>
      <w:r>
        <w:t xml:space="preserve">is the number of parameters in the model including the intercept (i.e., 3), and</w:t>
      </w:r>
      <w:r>
        <w:t xml:space="preserve"> </w:t>
      </w:r>
      <m:oMath>
        <m:r>
          <m:t>n</m:t>
        </m:r>
      </m:oMath>
      <w:r>
        <w:t xml:space="preserve"> </w:t>
      </w:r>
      <w:r>
        <w:t xml:space="preserve">is the number of observations in the model (i.e., 23);</w:t>
      </w:r>
      <w:r>
        <w:t xml:space="preserve"> </w:t>
      </w:r>
      <m:oMath>
        <m:r>
          <m:t>p</m:t>
        </m:r>
        <m:r>
          <m:t>/</m:t>
        </m:r>
        <m:r>
          <m:t>n</m:t>
        </m:r>
      </m:oMath>
      <w:r>
        <w:t xml:space="preserve"> </w:t>
      </w:r>
      <w:r>
        <w:t xml:space="preserve">= 3/23 = 0.13 for this study). Therefore, a leverage cut-off of 0.26 was used; observations with a leverage value greater than 0.26 were investigated further (Figure 2b).</w:t>
      </w:r>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index4/results///figs/influential.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2: Diagnostics plots of influential observations including a) Cook's Distance (with a cut-off value of 0.20), and b) leverage values (with a cut-off value of 0.26) from model m2.</w:t>
      </w:r>
    </w:p>
    <w:p>
      <w:pPr>
        <w:pStyle w:val="Heading3"/>
      </w:pPr>
      <w:bookmarkStart w:id="33" w:name="influential-datapoints"/>
      <w:bookmarkEnd w:id="33"/>
      <w:r>
        <w:t xml:space="preserve">Influential datapoints</w:t>
      </w:r>
    </w:p>
    <w:p>
      <w:pPr>
        <w:pStyle w:val="FirstParagraph"/>
      </w:pPr>
      <w:r>
        <w:t xml:space="preserve">To determine if a variable has a relationship with residuals, a lack-of fit curvature test was performed. In this test, terms that are non-significant suggest a properly specified model. The CPUE term was significant in the lack-of-fit curvature test (</w:t>
      </w:r>
      <m:oMath>
        <m:r>
          <m:t>P</m:t>
        </m:r>
      </m:oMath>
      <w:r>
        <w:t xml:space="preserve">&lt;0.05), suggesting some lack of fit for this term (Figure 3a). Diagnostics indicated that two of the data points were above the cut-off value for the Cook's distance (Figure 2a). Two observations had a high leverage value (Figure 2b), but none of the observations affected model fitting. Based on the Bonferroni outlier test, none of the data points had a studentized residual with a significant Bonferroni</w:t>
      </w:r>
      <w:r>
        <w:t xml:space="preserve"> </w:t>
      </w:r>
      <m:oMath>
        <m:r>
          <m:t>P</m:t>
        </m:r>
      </m:oMath>
      <w:r>
        <w:t xml:space="preserve">-value suggesting that none of the data points impacted the model fitting; although observations 1, 16, 18 and 21 and were the most extreme (juvenile years 1997, 2012, 2014, and 2017 corresponding to years 1998, 2013, 2015, and 2018) based on standardized residuals (Figure 4a; Table 3). Based on the lightly curved fitted lines in the residual versus fitted plot (Figure 4b), the fitted plot shows some lack of fit of the model.</w:t>
      </w:r>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index4/results///figs/predicted.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3: Standardized residuals versus predicted plots for a) CPUE and b) temperature.</w:t>
      </w:r>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index4/results///figs/fitted.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a) Standardized residuals versus juvenile year and b) residuals versus fitted values for model m2. Positive residuals indicate that the observed harvest was larger than predicted by the model.</w:t>
      </w:r>
    </w:p>
    <w:p>
      <w:pPr>
        <w:pStyle w:val="TableCaption"/>
      </w:pPr>
      <w:r>
        <w:t xml:space="preserve">Detailed output for model m2. Juvenile years 1997, 2012, 2014, and 2017 (years 1998, 2013, 2015, and 2018) show the largest standardized residual. The variable SEAKCatch is commercial harvest of adult fish in millions, the variable CPUE is the average log-transformed catches standardized to an effort of a 20 minute trawl set, and the variable ISTI is the average (May through July) temperature in the upper 20 m at the eight SECM stations in Icy Strait. Year refers to the forecast year. Fitted values are log-transformed.</w:t>
      </w:r>
    </w:p>
    <w:tbl>
      <w:tblPr>
        <w:tblStyle w:val="TableNormal"/>
        <w:tblW w:type="pct" w:w="0.0"/>
        <w:tblLook w:firstRow="1"/>
        <w:tblCaption w:val="Detailed output for model m2. Juvenile years 1997, 2012, 2014, and 2017 (years 1998, 2013, 2015, and 2018) show the largest standardized residual. The variable SEAKCatch is commercial harvest of adult fish in millions, the variable CPUE is the average log-transformed catches standardized to an effort of a 20 minute trawl set, and the variable ISTI is the average (May through July) temperature in the upper 20 m at the eight SECM stations in Icy Strait. Year refers to the forecast year. Fitted values are log-transformed."/>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juvenile_year</w:t>
            </w:r>
          </w:p>
        </w:tc>
        <w:tc>
          <w:tcPr>
            <w:tcBorders>
              <w:bottom w:val="single"/>
            </w:tcBorders>
            <w:vAlign w:val="bottom"/>
          </w:tcPr>
          <w:p>
            <w:pPr>
              <w:pStyle w:val="Compact"/>
              <w:jc w:val="right"/>
            </w:pPr>
            <w:r>
              <w:t xml:space="preserve">SEAKCatch</w:t>
            </w:r>
          </w:p>
        </w:tc>
        <w:tc>
          <w:tcPr>
            <w:tcBorders>
              <w:bottom w:val="single"/>
            </w:tcBorders>
            <w:vAlign w:val="bottom"/>
          </w:tcPr>
          <w:p>
            <w:pPr>
              <w:pStyle w:val="Compact"/>
              <w:jc w:val="right"/>
            </w:pPr>
            <w:r>
              <w:t xml:space="preserve">CPUE</w:t>
            </w:r>
          </w:p>
        </w:tc>
        <w:tc>
          <w:tcPr>
            <w:tcBorders>
              <w:bottom w:val="single"/>
            </w:tcBorders>
            <w:vAlign w:val="bottom"/>
          </w:tcPr>
          <w:p>
            <w:pPr>
              <w:pStyle w:val="Compact"/>
              <w:jc w:val="right"/>
            </w:pPr>
            <w:r>
              <w:t xml:space="preserve">ISTI</w:t>
            </w:r>
          </w:p>
        </w:tc>
        <w:tc>
          <w:tcPr>
            <w:tcBorders>
              <w:bottom w:val="single"/>
            </w:tcBorders>
            <w:vAlign w:val="bottom"/>
          </w:tcPr>
          <w:p>
            <w:pPr>
              <w:pStyle w:val="Compact"/>
              <w:jc w:val="right"/>
            </w:pPr>
            <w:r>
              <w:t xml:space="preserve">resid</w:t>
            </w:r>
          </w:p>
        </w:tc>
        <w:tc>
          <w:tcPr>
            <w:tcBorders>
              <w:bottom w:val="single"/>
            </w:tcBorders>
            <w:vAlign w:val="bottom"/>
          </w:tcPr>
          <w:p>
            <w:pPr>
              <w:pStyle w:val="Compact"/>
              <w:jc w:val="right"/>
            </w:pPr>
            <w:r>
              <w:t xml:space="preserve">hat_values</w:t>
            </w:r>
          </w:p>
        </w:tc>
        <w:tc>
          <w:tcPr>
            <w:tcBorders>
              <w:bottom w:val="single"/>
            </w:tcBorders>
            <w:vAlign w:val="bottom"/>
          </w:tcPr>
          <w:p>
            <w:pPr>
              <w:pStyle w:val="Compact"/>
              <w:jc w:val="right"/>
            </w:pPr>
            <w:r>
              <w:t xml:space="preserve">Cooks_distance</w:t>
            </w:r>
          </w:p>
        </w:tc>
        <w:tc>
          <w:tcPr>
            <w:tcBorders>
              <w:bottom w:val="single"/>
            </w:tcBorders>
            <w:vAlign w:val="bottom"/>
          </w:tcPr>
          <w:p>
            <w:pPr>
              <w:pStyle w:val="Compact"/>
              <w:jc w:val="right"/>
            </w:pPr>
            <w:r>
              <w:t xml:space="preserve">std_resid</w:t>
            </w:r>
          </w:p>
        </w:tc>
        <w:tc>
          <w:tcPr>
            <w:tcBorders>
              <w:bottom w:val="single"/>
            </w:tcBorders>
            <w:vAlign w:val="bottom"/>
          </w:tcPr>
          <w:p>
            <w:pPr>
              <w:pStyle w:val="Compact"/>
              <w:jc w:val="right"/>
            </w:pPr>
            <w:r>
              <w:t xml:space="preserve">fitted</w:t>
            </w:r>
          </w:p>
        </w:tc>
      </w:tr>
      <w:tr>
        <w:tc>
          <w:p>
            <w:pPr>
              <w:pStyle w:val="Compact"/>
              <w:jc w:val="right"/>
            </w:pPr>
            <w:r>
              <w:t xml:space="preserve">1998</w:t>
            </w:r>
          </w:p>
        </w:tc>
        <w:tc>
          <w:p>
            <w:pPr>
              <w:pStyle w:val="Compact"/>
              <w:jc w:val="right"/>
            </w:pPr>
            <w:r>
              <w:t xml:space="preserve">1997</w:t>
            </w:r>
          </w:p>
        </w:tc>
        <w:tc>
          <w:p>
            <w:pPr>
              <w:pStyle w:val="Compact"/>
              <w:jc w:val="right"/>
            </w:pPr>
            <w:r>
              <w:t xml:space="preserve">42.5</w:t>
            </w:r>
          </w:p>
        </w:tc>
        <w:tc>
          <w:p>
            <w:pPr>
              <w:pStyle w:val="Compact"/>
              <w:jc w:val="right"/>
            </w:pPr>
            <w:r>
              <w:t xml:space="preserve">2.478</w:t>
            </w:r>
          </w:p>
        </w:tc>
        <w:tc>
          <w:p>
            <w:pPr>
              <w:pStyle w:val="Compact"/>
              <w:jc w:val="right"/>
            </w:pPr>
            <w:r>
              <w:t xml:space="preserve">9.259</w:t>
            </w:r>
          </w:p>
        </w:tc>
        <w:tc>
          <w:p>
            <w:pPr>
              <w:pStyle w:val="Compact"/>
              <w:jc w:val="right"/>
            </w:pPr>
            <w:r>
              <w:t xml:space="preserve">0.476</w:t>
            </w:r>
          </w:p>
        </w:tc>
        <w:tc>
          <w:p>
            <w:pPr>
              <w:pStyle w:val="Compact"/>
              <w:jc w:val="right"/>
            </w:pPr>
            <w:r>
              <w:t xml:space="preserve">0.049</w:t>
            </w:r>
          </w:p>
        </w:tc>
        <w:tc>
          <w:p>
            <w:pPr>
              <w:pStyle w:val="Compact"/>
              <w:jc w:val="right"/>
            </w:pPr>
            <w:r>
              <w:t xml:space="preserve">0.052</w:t>
            </w:r>
          </w:p>
        </w:tc>
        <w:tc>
          <w:p>
            <w:pPr>
              <w:pStyle w:val="Compact"/>
              <w:jc w:val="right"/>
            </w:pPr>
            <w:r>
              <w:t xml:space="preserve">1.737</w:t>
            </w:r>
          </w:p>
        </w:tc>
        <w:tc>
          <w:p>
            <w:pPr>
              <w:pStyle w:val="Compact"/>
              <w:jc w:val="right"/>
            </w:pPr>
            <w:r>
              <w:t xml:space="preserve">3.273</w:t>
            </w:r>
          </w:p>
        </w:tc>
      </w:tr>
      <w:tr>
        <w:tc>
          <w:p>
            <w:pPr>
              <w:pStyle w:val="Compact"/>
              <w:jc w:val="right"/>
            </w:pPr>
            <w:r>
              <w:t xml:space="preserve">1999</w:t>
            </w:r>
          </w:p>
        </w:tc>
        <w:tc>
          <w:p>
            <w:pPr>
              <w:pStyle w:val="Compact"/>
              <w:jc w:val="right"/>
            </w:pPr>
            <w:r>
              <w:t xml:space="preserve">1998</w:t>
            </w:r>
          </w:p>
        </w:tc>
        <w:tc>
          <w:p>
            <w:pPr>
              <w:pStyle w:val="Compact"/>
              <w:jc w:val="right"/>
            </w:pPr>
            <w:r>
              <w:t xml:space="preserve">77.8</w:t>
            </w:r>
          </w:p>
        </w:tc>
        <w:tc>
          <w:p>
            <w:pPr>
              <w:pStyle w:val="Compact"/>
              <w:jc w:val="right"/>
            </w:pPr>
            <w:r>
              <w:t xml:space="preserve">5.622</w:t>
            </w:r>
          </w:p>
        </w:tc>
        <w:tc>
          <w:p>
            <w:pPr>
              <w:pStyle w:val="Compact"/>
              <w:jc w:val="right"/>
            </w:pPr>
            <w:r>
              <w:t xml:space="preserve">9.489</w:t>
            </w:r>
          </w:p>
        </w:tc>
        <w:tc>
          <w:p>
            <w:pPr>
              <w:pStyle w:val="Compact"/>
              <w:jc w:val="right"/>
            </w:pPr>
            <w:r>
              <w:t xml:space="preserve">-0.387</w:t>
            </w:r>
          </w:p>
        </w:tc>
        <w:tc>
          <w:p>
            <w:pPr>
              <w:pStyle w:val="Compact"/>
              <w:jc w:val="right"/>
            </w:pPr>
            <w:r>
              <w:t xml:space="preserve">0.300</w:t>
            </w:r>
          </w:p>
        </w:tc>
        <w:tc>
          <w:p>
            <w:pPr>
              <w:pStyle w:val="Compact"/>
              <w:jc w:val="right"/>
            </w:pPr>
            <w:r>
              <w:t xml:space="preserve">0.387</w:t>
            </w:r>
          </w:p>
        </w:tc>
        <w:tc>
          <w:p>
            <w:pPr>
              <w:pStyle w:val="Compact"/>
              <w:jc w:val="right"/>
            </w:pPr>
            <w:r>
              <w:t xml:space="preserve">-1.645</w:t>
            </w:r>
          </w:p>
        </w:tc>
        <w:tc>
          <w:p>
            <w:pPr>
              <w:pStyle w:val="Compact"/>
              <w:jc w:val="right"/>
            </w:pPr>
            <w:r>
              <w:t xml:space="preserve">4.741</w:t>
            </w:r>
          </w:p>
        </w:tc>
      </w:tr>
      <w:tr>
        <w:tc>
          <w:p>
            <w:pPr>
              <w:pStyle w:val="Compact"/>
              <w:jc w:val="right"/>
            </w:pPr>
            <w:r>
              <w:t xml:space="preserve">2000</w:t>
            </w:r>
          </w:p>
        </w:tc>
        <w:tc>
          <w:p>
            <w:pPr>
              <w:pStyle w:val="Compact"/>
              <w:jc w:val="right"/>
            </w:pPr>
            <w:r>
              <w:t xml:space="preserve">1999</w:t>
            </w:r>
          </w:p>
        </w:tc>
        <w:tc>
          <w:p>
            <w:pPr>
              <w:pStyle w:val="Compact"/>
              <w:jc w:val="right"/>
            </w:pPr>
            <w:r>
              <w:t xml:space="preserve">20.3</w:t>
            </w:r>
          </w:p>
        </w:tc>
        <w:tc>
          <w:p>
            <w:pPr>
              <w:pStyle w:val="Compact"/>
              <w:jc w:val="right"/>
            </w:pPr>
            <w:r>
              <w:t xml:space="preserve">1.598</w:t>
            </w:r>
          </w:p>
        </w:tc>
        <w:tc>
          <w:p>
            <w:pPr>
              <w:pStyle w:val="Compact"/>
              <w:jc w:val="right"/>
            </w:pPr>
            <w:r>
              <w:t xml:space="preserve">8.560</w:t>
            </w:r>
          </w:p>
        </w:tc>
        <w:tc>
          <w:p>
            <w:pPr>
              <w:pStyle w:val="Compact"/>
              <w:jc w:val="right"/>
            </w:pPr>
            <w:r>
              <w:t xml:space="preserve">-0.199</w:t>
            </w:r>
          </w:p>
        </w:tc>
        <w:tc>
          <w:p>
            <w:pPr>
              <w:pStyle w:val="Compact"/>
              <w:jc w:val="right"/>
            </w:pPr>
            <w:r>
              <w:t xml:space="preserve">0.099</w:t>
            </w:r>
          </w:p>
        </w:tc>
        <w:tc>
          <w:p>
            <w:pPr>
              <w:pStyle w:val="Compact"/>
              <w:jc w:val="right"/>
            </w:pPr>
            <w:r>
              <w:t xml:space="preserve">0.021</w:t>
            </w:r>
          </w:p>
        </w:tc>
        <w:tc>
          <w:p>
            <w:pPr>
              <w:pStyle w:val="Compact"/>
              <w:jc w:val="right"/>
            </w:pPr>
            <w:r>
              <w:t xml:space="preserve">-0.747</w:t>
            </w:r>
          </w:p>
        </w:tc>
        <w:tc>
          <w:p>
            <w:pPr>
              <w:pStyle w:val="Compact"/>
              <w:jc w:val="right"/>
            </w:pPr>
            <w:r>
              <w:t xml:space="preserve">3.210</w:t>
            </w:r>
          </w:p>
        </w:tc>
      </w:tr>
      <w:tr>
        <w:tc>
          <w:p>
            <w:pPr>
              <w:pStyle w:val="Compact"/>
              <w:jc w:val="right"/>
            </w:pPr>
            <w:r>
              <w:t xml:space="preserve">2001</w:t>
            </w:r>
          </w:p>
        </w:tc>
        <w:tc>
          <w:p>
            <w:pPr>
              <w:pStyle w:val="Compact"/>
              <w:jc w:val="right"/>
            </w:pPr>
            <w:r>
              <w:t xml:space="preserve">2000</w:t>
            </w:r>
          </w:p>
        </w:tc>
        <w:tc>
          <w:p>
            <w:pPr>
              <w:pStyle w:val="Compact"/>
              <w:jc w:val="right"/>
            </w:pPr>
            <w:r>
              <w:t xml:space="preserve">67.0</w:t>
            </w:r>
          </w:p>
        </w:tc>
        <w:tc>
          <w:p>
            <w:pPr>
              <w:pStyle w:val="Compact"/>
              <w:jc w:val="right"/>
            </w:pPr>
            <w:r>
              <w:t xml:space="preserve">3.730</w:t>
            </w:r>
          </w:p>
        </w:tc>
        <w:tc>
          <w:p>
            <w:pPr>
              <w:pStyle w:val="Compact"/>
              <w:jc w:val="right"/>
            </w:pPr>
            <w:r>
              <w:t xml:space="preserve">8.756</w:t>
            </w:r>
          </w:p>
        </w:tc>
        <w:tc>
          <w:p>
            <w:pPr>
              <w:pStyle w:val="Compact"/>
              <w:jc w:val="right"/>
            </w:pPr>
            <w:r>
              <w:t xml:space="preserve">0.022</w:t>
            </w:r>
          </w:p>
        </w:tc>
        <w:tc>
          <w:p>
            <w:pPr>
              <w:pStyle w:val="Compact"/>
              <w:jc w:val="right"/>
            </w:pPr>
            <w:r>
              <w:t xml:space="preserve">0.110</w:t>
            </w:r>
          </w:p>
        </w:tc>
        <w:tc>
          <w:p>
            <w:pPr>
              <w:pStyle w:val="Compact"/>
              <w:jc w:val="right"/>
            </w:pPr>
            <w:r>
              <w:t xml:space="preserve">0.000</w:t>
            </w:r>
          </w:p>
        </w:tc>
        <w:tc>
          <w:p>
            <w:pPr>
              <w:pStyle w:val="Compact"/>
              <w:jc w:val="right"/>
            </w:pPr>
            <w:r>
              <w:t xml:space="preserve">0.082</w:t>
            </w:r>
          </w:p>
        </w:tc>
        <w:tc>
          <w:p>
            <w:pPr>
              <w:pStyle w:val="Compact"/>
              <w:jc w:val="right"/>
            </w:pPr>
            <w:r>
              <w:t xml:space="preserve">4.183</w:t>
            </w:r>
          </w:p>
        </w:tc>
      </w:tr>
      <w:tr>
        <w:tc>
          <w:p>
            <w:pPr>
              <w:pStyle w:val="Compact"/>
              <w:jc w:val="right"/>
            </w:pPr>
            <w:r>
              <w:t xml:space="preserve">2002</w:t>
            </w:r>
          </w:p>
        </w:tc>
        <w:tc>
          <w:p>
            <w:pPr>
              <w:pStyle w:val="Compact"/>
              <w:jc w:val="right"/>
            </w:pPr>
            <w:r>
              <w:t xml:space="preserve">2001</w:t>
            </w:r>
          </w:p>
        </w:tc>
        <w:tc>
          <w:p>
            <w:pPr>
              <w:pStyle w:val="Compact"/>
              <w:jc w:val="right"/>
            </w:pPr>
            <w:r>
              <w:t xml:space="preserve">45.3</w:t>
            </w:r>
          </w:p>
        </w:tc>
        <w:tc>
          <w:p>
            <w:pPr>
              <w:pStyle w:val="Compact"/>
              <w:jc w:val="right"/>
            </w:pPr>
            <w:r>
              <w:t xml:space="preserve">2.869</w:t>
            </w:r>
          </w:p>
        </w:tc>
        <w:tc>
          <w:p>
            <w:pPr>
              <w:pStyle w:val="Compact"/>
              <w:jc w:val="right"/>
            </w:pPr>
            <w:r>
              <w:t xml:space="preserve">9.028</w:t>
            </w:r>
          </w:p>
        </w:tc>
        <w:tc>
          <w:p>
            <w:pPr>
              <w:pStyle w:val="Compact"/>
              <w:jc w:val="right"/>
            </w:pPr>
            <w:r>
              <w:t xml:space="preserve">0.215</w:t>
            </w:r>
          </w:p>
        </w:tc>
        <w:tc>
          <w:p>
            <w:pPr>
              <w:pStyle w:val="Compact"/>
              <w:jc w:val="right"/>
            </w:pPr>
            <w:r>
              <w:t xml:space="preserve">0.046</w:t>
            </w:r>
          </w:p>
        </w:tc>
        <w:tc>
          <w:p>
            <w:pPr>
              <w:pStyle w:val="Compact"/>
              <w:jc w:val="right"/>
            </w:pPr>
            <w:r>
              <w:t xml:space="preserve">0.010</w:t>
            </w:r>
          </w:p>
        </w:tc>
        <w:tc>
          <w:p>
            <w:pPr>
              <w:pStyle w:val="Compact"/>
              <w:jc w:val="right"/>
            </w:pPr>
            <w:r>
              <w:t xml:space="preserve">0.784</w:t>
            </w:r>
          </w:p>
        </w:tc>
        <w:tc>
          <w:p>
            <w:pPr>
              <w:pStyle w:val="Compact"/>
              <w:jc w:val="right"/>
            </w:pPr>
            <w:r>
              <w:t xml:space="preserve">3.598</w:t>
            </w:r>
          </w:p>
        </w:tc>
      </w:tr>
      <w:tr>
        <w:tc>
          <w:p>
            <w:pPr>
              <w:pStyle w:val="Compact"/>
              <w:jc w:val="right"/>
            </w:pPr>
            <w:r>
              <w:t xml:space="preserve">2003</w:t>
            </w:r>
          </w:p>
        </w:tc>
        <w:tc>
          <w:p>
            <w:pPr>
              <w:pStyle w:val="Compact"/>
              <w:jc w:val="right"/>
            </w:pPr>
            <w:r>
              <w:t xml:space="preserve">2002</w:t>
            </w:r>
          </w:p>
        </w:tc>
        <w:tc>
          <w:p>
            <w:pPr>
              <w:pStyle w:val="Compact"/>
              <w:jc w:val="right"/>
            </w:pPr>
            <w:r>
              <w:t xml:space="preserve">52.5</w:t>
            </w:r>
          </w:p>
        </w:tc>
        <w:tc>
          <w:p>
            <w:pPr>
              <w:pStyle w:val="Compact"/>
              <w:jc w:val="right"/>
            </w:pPr>
            <w:r>
              <w:t xml:space="preserve">2.785</w:t>
            </w:r>
          </w:p>
        </w:tc>
        <w:tc>
          <w:p>
            <w:pPr>
              <w:pStyle w:val="Compact"/>
              <w:jc w:val="right"/>
            </w:pPr>
            <w:r>
              <w:t xml:space="preserve">8.198</w:t>
            </w:r>
          </w:p>
        </w:tc>
        <w:tc>
          <w:p>
            <w:pPr>
              <w:pStyle w:val="Compact"/>
              <w:jc w:val="right"/>
            </w:pPr>
            <w:r>
              <w:t xml:space="preserve">-0.048</w:t>
            </w:r>
          </w:p>
        </w:tc>
        <w:tc>
          <w:p>
            <w:pPr>
              <w:pStyle w:val="Compact"/>
              <w:jc w:val="right"/>
            </w:pPr>
            <w:r>
              <w:t xml:space="preserve">0.165</w:t>
            </w:r>
          </w:p>
        </w:tc>
        <w:tc>
          <w:p>
            <w:pPr>
              <w:pStyle w:val="Compact"/>
              <w:jc w:val="right"/>
            </w:pPr>
            <w:r>
              <w:t xml:space="preserve">0.002</w:t>
            </w:r>
          </w:p>
        </w:tc>
        <w:tc>
          <w:p>
            <w:pPr>
              <w:pStyle w:val="Compact"/>
              <w:jc w:val="right"/>
            </w:pPr>
            <w:r>
              <w:t xml:space="preserve">-0.188</w:t>
            </w:r>
          </w:p>
        </w:tc>
        <w:tc>
          <w:p>
            <w:pPr>
              <w:pStyle w:val="Compact"/>
              <w:jc w:val="right"/>
            </w:pPr>
            <w:r>
              <w:t xml:space="preserve">4.009</w:t>
            </w:r>
          </w:p>
        </w:tc>
      </w:tr>
      <w:tr>
        <w:tc>
          <w:p>
            <w:pPr>
              <w:pStyle w:val="Compact"/>
              <w:jc w:val="right"/>
            </w:pPr>
            <w:r>
              <w:t xml:space="preserve">2004</w:t>
            </w:r>
          </w:p>
        </w:tc>
        <w:tc>
          <w:p>
            <w:pPr>
              <w:pStyle w:val="Compact"/>
              <w:jc w:val="right"/>
            </w:pPr>
            <w:r>
              <w:t xml:space="preserve">2003</w:t>
            </w:r>
          </w:p>
        </w:tc>
        <w:tc>
          <w:p>
            <w:pPr>
              <w:pStyle w:val="Compact"/>
              <w:jc w:val="right"/>
            </w:pPr>
            <w:r>
              <w:t xml:space="preserve">45.3</w:t>
            </w:r>
          </w:p>
        </w:tc>
        <w:tc>
          <w:p>
            <w:pPr>
              <w:pStyle w:val="Compact"/>
              <w:jc w:val="right"/>
            </w:pPr>
            <w:r>
              <w:t xml:space="preserve">3.078</w:t>
            </w:r>
          </w:p>
        </w:tc>
        <w:tc>
          <w:p>
            <w:pPr>
              <w:pStyle w:val="Compact"/>
              <w:jc w:val="right"/>
            </w:pPr>
            <w:r>
              <w:t xml:space="preserve">9.349</w:t>
            </w:r>
          </w:p>
        </w:tc>
        <w:tc>
          <w:p>
            <w:pPr>
              <w:pStyle w:val="Compact"/>
              <w:jc w:val="right"/>
            </w:pPr>
            <w:r>
              <w:t xml:space="preserve">0.285</w:t>
            </w:r>
          </w:p>
        </w:tc>
        <w:tc>
          <w:p>
            <w:pPr>
              <w:pStyle w:val="Compact"/>
              <w:jc w:val="right"/>
            </w:pPr>
            <w:r>
              <w:t xml:space="preserve">0.054</w:t>
            </w:r>
          </w:p>
        </w:tc>
        <w:tc>
          <w:p>
            <w:pPr>
              <w:pStyle w:val="Compact"/>
              <w:jc w:val="right"/>
            </w:pPr>
            <w:r>
              <w:t xml:space="preserve">0.021</w:t>
            </w:r>
          </w:p>
        </w:tc>
        <w:tc>
          <w:p>
            <w:pPr>
              <w:pStyle w:val="Compact"/>
              <w:jc w:val="right"/>
            </w:pPr>
            <w:r>
              <w:t xml:space="preserve">1.043</w:t>
            </w:r>
          </w:p>
        </w:tc>
        <w:tc>
          <w:p>
            <w:pPr>
              <w:pStyle w:val="Compact"/>
              <w:jc w:val="right"/>
            </w:pPr>
            <w:r>
              <w:t xml:space="preserve">3.528</w:t>
            </w:r>
          </w:p>
        </w:tc>
      </w:tr>
      <w:tr>
        <w:tc>
          <w:p>
            <w:pPr>
              <w:pStyle w:val="Compact"/>
              <w:jc w:val="right"/>
            </w:pPr>
            <w:r>
              <w:t xml:space="preserve">2005</w:t>
            </w:r>
          </w:p>
        </w:tc>
        <w:tc>
          <w:p>
            <w:pPr>
              <w:pStyle w:val="Compact"/>
              <w:jc w:val="right"/>
            </w:pPr>
            <w:r>
              <w:t xml:space="preserve">2004</w:t>
            </w:r>
          </w:p>
        </w:tc>
        <w:tc>
          <w:p>
            <w:pPr>
              <w:pStyle w:val="Compact"/>
              <w:jc w:val="right"/>
            </w:pPr>
            <w:r>
              <w:t xml:space="preserve">59.1</w:t>
            </w:r>
          </w:p>
        </w:tc>
        <w:tc>
          <w:p>
            <w:pPr>
              <w:pStyle w:val="Compact"/>
              <w:jc w:val="right"/>
            </w:pPr>
            <w:r>
              <w:t xml:space="preserve">3.899</w:t>
            </w:r>
          </w:p>
        </w:tc>
        <w:tc>
          <w:p>
            <w:pPr>
              <w:pStyle w:val="Compact"/>
              <w:jc w:val="right"/>
            </w:pPr>
            <w:r>
              <w:t xml:space="preserve">9.269</w:t>
            </w:r>
          </w:p>
        </w:tc>
        <w:tc>
          <w:p>
            <w:pPr>
              <w:pStyle w:val="Compact"/>
              <w:jc w:val="right"/>
            </w:pPr>
            <w:r>
              <w:t xml:space="preserve">0.091</w:t>
            </w:r>
          </w:p>
        </w:tc>
        <w:tc>
          <w:p>
            <w:pPr>
              <w:pStyle w:val="Compact"/>
              <w:jc w:val="right"/>
            </w:pPr>
            <w:r>
              <w:t xml:space="preserve">0.089</w:t>
            </w:r>
          </w:p>
        </w:tc>
        <w:tc>
          <w:p>
            <w:pPr>
              <w:pStyle w:val="Compact"/>
              <w:jc w:val="right"/>
            </w:pPr>
            <w:r>
              <w:t xml:space="preserve">0.004</w:t>
            </w:r>
          </w:p>
        </w:tc>
        <w:tc>
          <w:p>
            <w:pPr>
              <w:pStyle w:val="Compact"/>
              <w:jc w:val="right"/>
            </w:pPr>
            <w:r>
              <w:t xml:space="preserve">0.338</w:t>
            </w:r>
          </w:p>
        </w:tc>
        <w:tc>
          <w:p>
            <w:pPr>
              <w:pStyle w:val="Compact"/>
              <w:jc w:val="right"/>
            </w:pPr>
            <w:r>
              <w:t xml:space="preserve">3.988</w:t>
            </w:r>
          </w:p>
        </w:tc>
      </w:tr>
      <w:tr>
        <w:tc>
          <w:p>
            <w:pPr>
              <w:pStyle w:val="Compact"/>
              <w:jc w:val="right"/>
            </w:pPr>
            <w:r>
              <w:t xml:space="preserve">2006</w:t>
            </w:r>
          </w:p>
        </w:tc>
        <w:tc>
          <w:p>
            <w:pPr>
              <w:pStyle w:val="Compact"/>
              <w:jc w:val="right"/>
            </w:pPr>
            <w:r>
              <w:t xml:space="preserve">2005</w:t>
            </w:r>
          </w:p>
        </w:tc>
        <w:tc>
          <w:p>
            <w:pPr>
              <w:pStyle w:val="Compact"/>
              <w:jc w:val="right"/>
            </w:pPr>
            <w:r>
              <w:t xml:space="preserve">11.6</w:t>
            </w:r>
          </w:p>
        </w:tc>
        <w:tc>
          <w:p>
            <w:pPr>
              <w:pStyle w:val="Compact"/>
              <w:jc w:val="right"/>
            </w:pPr>
            <w:r>
              <w:t xml:space="preserve">2.040</w:t>
            </w:r>
          </w:p>
        </w:tc>
        <w:tc>
          <w:p>
            <w:pPr>
              <w:pStyle w:val="Compact"/>
              <w:jc w:val="right"/>
            </w:pPr>
            <w:r>
              <w:t xml:space="preserve">10.203</w:t>
            </w:r>
          </w:p>
        </w:tc>
        <w:tc>
          <w:p>
            <w:pPr>
              <w:pStyle w:val="Compact"/>
              <w:jc w:val="right"/>
            </w:pPr>
            <w:r>
              <w:t xml:space="preserve">-0.085</w:t>
            </w:r>
          </w:p>
        </w:tc>
        <w:tc>
          <w:p>
            <w:pPr>
              <w:pStyle w:val="Compact"/>
              <w:jc w:val="right"/>
            </w:pPr>
            <w:r>
              <w:t xml:space="preserve">0.256</w:t>
            </w:r>
          </w:p>
        </w:tc>
        <w:tc>
          <w:p>
            <w:pPr>
              <w:pStyle w:val="Compact"/>
              <w:jc w:val="right"/>
            </w:pPr>
            <w:r>
              <w:t xml:space="preserve">0.014</w:t>
            </w:r>
          </w:p>
        </w:tc>
        <w:tc>
          <w:p>
            <w:pPr>
              <w:pStyle w:val="Compact"/>
              <w:jc w:val="right"/>
            </w:pPr>
            <w:r>
              <w:t xml:space="preserve">-0.352</w:t>
            </w:r>
          </w:p>
        </w:tc>
        <w:tc>
          <w:p>
            <w:pPr>
              <w:pStyle w:val="Compact"/>
              <w:jc w:val="right"/>
            </w:pPr>
            <w:r>
              <w:t xml:space="preserve">2.536</w:t>
            </w:r>
          </w:p>
        </w:tc>
      </w:tr>
      <w:tr>
        <w:tc>
          <w:p>
            <w:pPr>
              <w:pStyle w:val="Compact"/>
              <w:jc w:val="right"/>
            </w:pPr>
            <w:r>
              <w:t xml:space="preserve">2007</w:t>
            </w:r>
          </w:p>
        </w:tc>
        <w:tc>
          <w:p>
            <w:pPr>
              <w:pStyle w:val="Compact"/>
              <w:jc w:val="right"/>
            </w:pPr>
            <w:r>
              <w:t xml:space="preserve">2006</w:t>
            </w:r>
          </w:p>
        </w:tc>
        <w:tc>
          <w:p>
            <w:pPr>
              <w:pStyle w:val="Compact"/>
              <w:jc w:val="right"/>
            </w:pPr>
            <w:r>
              <w:t xml:space="preserve">44.8</w:t>
            </w:r>
          </w:p>
        </w:tc>
        <w:tc>
          <w:p>
            <w:pPr>
              <w:pStyle w:val="Compact"/>
              <w:jc w:val="right"/>
            </w:pPr>
            <w:r>
              <w:t xml:space="preserve">2.573</w:t>
            </w:r>
          </w:p>
        </w:tc>
        <w:tc>
          <w:p>
            <w:pPr>
              <w:pStyle w:val="Compact"/>
              <w:jc w:val="right"/>
            </w:pPr>
            <w:r>
              <w:t xml:space="preserve">8.771</w:t>
            </w:r>
          </w:p>
        </w:tc>
        <w:tc>
          <w:p>
            <w:pPr>
              <w:pStyle w:val="Compact"/>
              <w:jc w:val="right"/>
            </w:pPr>
            <w:r>
              <w:t xml:space="preserve">0.214</w:t>
            </w:r>
          </w:p>
        </w:tc>
        <w:tc>
          <w:p>
            <w:pPr>
              <w:pStyle w:val="Compact"/>
              <w:jc w:val="right"/>
            </w:pPr>
            <w:r>
              <w:t xml:space="preserve">0.058</w:t>
            </w:r>
          </w:p>
        </w:tc>
        <w:tc>
          <w:p>
            <w:pPr>
              <w:pStyle w:val="Compact"/>
              <w:jc w:val="right"/>
            </w:pPr>
            <w:r>
              <w:t xml:space="preserve">0.013</w:t>
            </w:r>
          </w:p>
        </w:tc>
        <w:tc>
          <w:p>
            <w:pPr>
              <w:pStyle w:val="Compact"/>
              <w:jc w:val="right"/>
            </w:pPr>
            <w:r>
              <w:t xml:space="preserve">0.785</w:t>
            </w:r>
          </w:p>
        </w:tc>
        <w:tc>
          <w:p>
            <w:pPr>
              <w:pStyle w:val="Compact"/>
              <w:jc w:val="right"/>
            </w:pPr>
            <w:r>
              <w:t xml:space="preserve">3.588</w:t>
            </w:r>
          </w:p>
        </w:tc>
      </w:tr>
      <w:tr>
        <w:tc>
          <w:p>
            <w:pPr>
              <w:pStyle w:val="Compact"/>
              <w:jc w:val="right"/>
            </w:pPr>
            <w:r>
              <w:t xml:space="preserve">2008</w:t>
            </w:r>
          </w:p>
        </w:tc>
        <w:tc>
          <w:p>
            <w:pPr>
              <w:pStyle w:val="Compact"/>
              <w:jc w:val="right"/>
            </w:pPr>
            <w:r>
              <w:t xml:space="preserve">2007</w:t>
            </w:r>
          </w:p>
        </w:tc>
        <w:tc>
          <w:p>
            <w:pPr>
              <w:pStyle w:val="Compact"/>
              <w:jc w:val="right"/>
            </w:pPr>
            <w:r>
              <w:t xml:space="preserve">15.9</w:t>
            </w:r>
          </w:p>
        </w:tc>
        <w:tc>
          <w:p>
            <w:pPr>
              <w:pStyle w:val="Compact"/>
              <w:jc w:val="right"/>
            </w:pPr>
            <w:r>
              <w:t xml:space="preserve">1.168</w:t>
            </w:r>
          </w:p>
        </w:tc>
        <w:tc>
          <w:p>
            <w:pPr>
              <w:pStyle w:val="Compact"/>
              <w:jc w:val="right"/>
            </w:pPr>
            <w:r>
              <w:t xml:space="preserve">8.951</w:t>
            </w:r>
          </w:p>
        </w:tc>
        <w:tc>
          <w:p>
            <w:pPr>
              <w:pStyle w:val="Compact"/>
              <w:jc w:val="right"/>
            </w:pPr>
            <w:r>
              <w:t xml:space="preserve">-0.012</w:t>
            </w:r>
          </w:p>
        </w:tc>
        <w:tc>
          <w:p>
            <w:pPr>
              <w:pStyle w:val="Compact"/>
              <w:jc w:val="right"/>
            </w:pPr>
            <w:r>
              <w:t xml:space="preserve">0.108</w:t>
            </w:r>
          </w:p>
        </w:tc>
        <w:tc>
          <w:p>
            <w:pPr>
              <w:pStyle w:val="Compact"/>
              <w:jc w:val="right"/>
            </w:pPr>
            <w:r>
              <w:t xml:space="preserve">0.000</w:t>
            </w:r>
          </w:p>
        </w:tc>
        <w:tc>
          <w:p>
            <w:pPr>
              <w:pStyle w:val="Compact"/>
              <w:jc w:val="right"/>
            </w:pPr>
            <w:r>
              <w:t xml:space="preserve">-0.046</w:t>
            </w:r>
          </w:p>
        </w:tc>
        <w:tc>
          <w:p>
            <w:pPr>
              <w:pStyle w:val="Compact"/>
              <w:jc w:val="right"/>
            </w:pPr>
            <w:r>
              <w:t xml:space="preserve">2.778</w:t>
            </w:r>
          </w:p>
        </w:tc>
      </w:tr>
      <w:tr>
        <w:tc>
          <w:p>
            <w:pPr>
              <w:pStyle w:val="Compact"/>
              <w:jc w:val="right"/>
            </w:pPr>
            <w:r>
              <w:t xml:space="preserve">2009</w:t>
            </w:r>
          </w:p>
        </w:tc>
        <w:tc>
          <w:p>
            <w:pPr>
              <w:pStyle w:val="Compact"/>
              <w:jc w:val="right"/>
            </w:pPr>
            <w:r>
              <w:t xml:space="preserve">2008</w:t>
            </w:r>
          </w:p>
        </w:tc>
        <w:tc>
          <w:p>
            <w:pPr>
              <w:pStyle w:val="Compact"/>
              <w:jc w:val="right"/>
            </w:pPr>
            <w:r>
              <w:t xml:space="preserve">38.0</w:t>
            </w:r>
          </w:p>
        </w:tc>
        <w:tc>
          <w:p>
            <w:pPr>
              <w:pStyle w:val="Compact"/>
              <w:jc w:val="right"/>
            </w:pPr>
            <w:r>
              <w:t xml:space="preserve">2.323</w:t>
            </w:r>
          </w:p>
        </w:tc>
        <w:tc>
          <w:p>
            <w:pPr>
              <w:pStyle w:val="Compact"/>
              <w:jc w:val="right"/>
            </w:pPr>
            <w:r>
              <w:t xml:space="preserve">7.925</w:t>
            </w:r>
          </w:p>
        </w:tc>
        <w:tc>
          <w:p>
            <w:pPr>
              <w:pStyle w:val="Compact"/>
              <w:jc w:val="right"/>
            </w:pPr>
            <w:r>
              <w:t xml:space="preserve">-0.287</w:t>
            </w:r>
          </w:p>
        </w:tc>
        <w:tc>
          <w:p>
            <w:pPr>
              <w:pStyle w:val="Compact"/>
              <w:jc w:val="right"/>
            </w:pPr>
            <w:r>
              <w:t xml:space="preserve">0.231</w:t>
            </w:r>
          </w:p>
        </w:tc>
        <w:tc>
          <w:p>
            <w:pPr>
              <w:pStyle w:val="Compact"/>
              <w:jc w:val="right"/>
            </w:pPr>
            <w:r>
              <w:t xml:space="preserve">0.136</w:t>
            </w:r>
          </w:p>
        </w:tc>
        <w:tc>
          <w:p>
            <w:pPr>
              <w:pStyle w:val="Compact"/>
              <w:jc w:val="right"/>
            </w:pPr>
            <w:r>
              <w:t xml:space="preserve">-1.164</w:t>
            </w:r>
          </w:p>
        </w:tc>
        <w:tc>
          <w:p>
            <w:pPr>
              <w:pStyle w:val="Compact"/>
              <w:jc w:val="right"/>
            </w:pPr>
            <w:r>
              <w:t xml:space="preserve">3.925</w:t>
            </w:r>
          </w:p>
        </w:tc>
      </w:tr>
      <w:tr>
        <w:tc>
          <w:p>
            <w:pPr>
              <w:pStyle w:val="Compact"/>
              <w:jc w:val="right"/>
            </w:pPr>
            <w:r>
              <w:t xml:space="preserve">2010</w:t>
            </w:r>
          </w:p>
        </w:tc>
        <w:tc>
          <w:p>
            <w:pPr>
              <w:pStyle w:val="Compact"/>
              <w:jc w:val="right"/>
            </w:pPr>
            <w:r>
              <w:t xml:space="preserve">2009</w:t>
            </w:r>
          </w:p>
        </w:tc>
        <w:tc>
          <w:p>
            <w:pPr>
              <w:pStyle w:val="Compact"/>
              <w:jc w:val="right"/>
            </w:pPr>
            <w:r>
              <w:t xml:space="preserve">24.0</w:t>
            </w:r>
          </w:p>
        </w:tc>
        <w:tc>
          <w:p>
            <w:pPr>
              <w:pStyle w:val="Compact"/>
              <w:jc w:val="right"/>
            </w:pPr>
            <w:r>
              <w:t xml:space="preserve">2.333</w:t>
            </w:r>
          </w:p>
        </w:tc>
        <w:tc>
          <w:p>
            <w:pPr>
              <w:pStyle w:val="Compact"/>
              <w:jc w:val="right"/>
            </w:pPr>
            <w:r>
              <w:t xml:space="preserve">9.378</w:t>
            </w:r>
          </w:p>
        </w:tc>
        <w:tc>
          <w:p>
            <w:pPr>
              <w:pStyle w:val="Compact"/>
              <w:jc w:val="right"/>
            </w:pPr>
            <w:r>
              <w:t xml:space="preserve">0.043</w:t>
            </w:r>
          </w:p>
        </w:tc>
        <w:tc>
          <w:p>
            <w:pPr>
              <w:pStyle w:val="Compact"/>
              <w:jc w:val="right"/>
            </w:pPr>
            <w:r>
              <w:t xml:space="preserve">0.061</w:t>
            </w:r>
          </w:p>
        </w:tc>
        <w:tc>
          <w:p>
            <w:pPr>
              <w:pStyle w:val="Compact"/>
              <w:jc w:val="right"/>
            </w:pPr>
            <w:r>
              <w:t xml:space="preserve">0.001</w:t>
            </w:r>
          </w:p>
        </w:tc>
        <w:tc>
          <w:p>
            <w:pPr>
              <w:pStyle w:val="Compact"/>
              <w:jc w:val="right"/>
            </w:pPr>
            <w:r>
              <w:t xml:space="preserve">0.158</w:t>
            </w:r>
          </w:p>
        </w:tc>
        <w:tc>
          <w:p>
            <w:pPr>
              <w:pStyle w:val="Compact"/>
              <w:jc w:val="right"/>
            </w:pPr>
            <w:r>
              <w:t xml:space="preserve">3.135</w:t>
            </w:r>
          </w:p>
        </w:tc>
      </w:tr>
      <w:tr>
        <w:tc>
          <w:p>
            <w:pPr>
              <w:pStyle w:val="Compact"/>
              <w:jc w:val="right"/>
            </w:pPr>
            <w:r>
              <w:t xml:space="preserve">2011</w:t>
            </w:r>
          </w:p>
        </w:tc>
        <w:tc>
          <w:p>
            <w:pPr>
              <w:pStyle w:val="Compact"/>
              <w:jc w:val="right"/>
            </w:pPr>
            <w:r>
              <w:t xml:space="preserve">2010</w:t>
            </w:r>
          </w:p>
        </w:tc>
        <w:tc>
          <w:p>
            <w:pPr>
              <w:pStyle w:val="Compact"/>
              <w:jc w:val="right"/>
            </w:pPr>
            <w:r>
              <w:t xml:space="preserve">58.9</w:t>
            </w:r>
          </w:p>
        </w:tc>
        <w:tc>
          <w:p>
            <w:pPr>
              <w:pStyle w:val="Compact"/>
              <w:jc w:val="right"/>
            </w:pPr>
            <w:r>
              <w:t xml:space="preserve">4.108</w:t>
            </w:r>
          </w:p>
        </w:tc>
        <w:tc>
          <w:p>
            <w:pPr>
              <w:pStyle w:val="Compact"/>
              <w:jc w:val="right"/>
            </w:pPr>
            <w:r>
              <w:t xml:space="preserve">9.395</w:t>
            </w:r>
          </w:p>
        </w:tc>
        <w:tc>
          <w:p>
            <w:pPr>
              <w:pStyle w:val="Compact"/>
              <w:jc w:val="right"/>
            </w:pPr>
            <w:r>
              <w:t xml:space="preserve">0.051</w:t>
            </w:r>
          </w:p>
        </w:tc>
        <w:tc>
          <w:p>
            <w:pPr>
              <w:pStyle w:val="Compact"/>
              <w:jc w:val="right"/>
            </w:pPr>
            <w:r>
              <w:t xml:space="preserve">0.107</w:t>
            </w:r>
          </w:p>
        </w:tc>
        <w:tc>
          <w:p>
            <w:pPr>
              <w:pStyle w:val="Compact"/>
              <w:jc w:val="right"/>
            </w:pPr>
            <w:r>
              <w:t xml:space="preserve">0.001</w:t>
            </w:r>
          </w:p>
        </w:tc>
        <w:tc>
          <w:p>
            <w:pPr>
              <w:pStyle w:val="Compact"/>
              <w:jc w:val="right"/>
            </w:pPr>
            <w:r>
              <w:t xml:space="preserve">0.191</w:t>
            </w:r>
          </w:p>
        </w:tc>
        <w:tc>
          <w:p>
            <w:pPr>
              <w:pStyle w:val="Compact"/>
              <w:jc w:val="right"/>
            </w:pPr>
            <w:r>
              <w:t xml:space="preserve">4.025</w:t>
            </w:r>
          </w:p>
        </w:tc>
      </w:tr>
      <w:tr>
        <w:tc>
          <w:p>
            <w:pPr>
              <w:pStyle w:val="Compact"/>
              <w:jc w:val="right"/>
            </w:pPr>
            <w:r>
              <w:t xml:space="preserve">2012</w:t>
            </w:r>
          </w:p>
        </w:tc>
        <w:tc>
          <w:p>
            <w:pPr>
              <w:pStyle w:val="Compact"/>
              <w:jc w:val="right"/>
            </w:pPr>
            <w:r>
              <w:t xml:space="preserve">2011</w:t>
            </w:r>
          </w:p>
        </w:tc>
        <w:tc>
          <w:p>
            <w:pPr>
              <w:pStyle w:val="Compact"/>
              <w:jc w:val="right"/>
            </w:pPr>
            <w:r>
              <w:t xml:space="preserve">21.3</w:t>
            </w:r>
          </w:p>
        </w:tc>
        <w:tc>
          <w:p>
            <w:pPr>
              <w:pStyle w:val="Compact"/>
              <w:jc w:val="right"/>
            </w:pPr>
            <w:r>
              <w:t xml:space="preserve">1.455</w:t>
            </w:r>
          </w:p>
        </w:tc>
        <w:tc>
          <w:p>
            <w:pPr>
              <w:pStyle w:val="Compact"/>
              <w:jc w:val="right"/>
            </w:pPr>
            <w:r>
              <w:t xml:space="preserve">8.669</w:t>
            </w:r>
          </w:p>
        </w:tc>
        <w:tc>
          <w:p>
            <w:pPr>
              <w:pStyle w:val="Compact"/>
              <w:jc w:val="right"/>
            </w:pPr>
            <w:r>
              <w:t xml:space="preserve">-0.019</w:t>
            </w:r>
          </w:p>
        </w:tc>
        <w:tc>
          <w:p>
            <w:pPr>
              <w:pStyle w:val="Compact"/>
              <w:jc w:val="right"/>
            </w:pPr>
            <w:r>
              <w:t xml:space="preserve">0.096</w:t>
            </w:r>
          </w:p>
        </w:tc>
        <w:tc>
          <w:p>
            <w:pPr>
              <w:pStyle w:val="Compact"/>
              <w:jc w:val="right"/>
            </w:pPr>
            <w:r>
              <w:t xml:space="preserve">0.000</w:t>
            </w:r>
          </w:p>
        </w:tc>
        <w:tc>
          <w:p>
            <w:pPr>
              <w:pStyle w:val="Compact"/>
              <w:jc w:val="right"/>
            </w:pPr>
            <w:r>
              <w:t xml:space="preserve">-0.071</w:t>
            </w:r>
          </w:p>
        </w:tc>
        <w:tc>
          <w:p>
            <w:pPr>
              <w:pStyle w:val="Compact"/>
              <w:jc w:val="right"/>
            </w:pPr>
            <w:r>
              <w:t xml:space="preserve">3.078</w:t>
            </w:r>
          </w:p>
        </w:tc>
      </w:tr>
      <w:tr>
        <w:tc>
          <w:p>
            <w:pPr>
              <w:pStyle w:val="Compact"/>
              <w:jc w:val="right"/>
            </w:pPr>
            <w:r>
              <w:t xml:space="preserve">2013</w:t>
            </w:r>
          </w:p>
        </w:tc>
        <w:tc>
          <w:p>
            <w:pPr>
              <w:pStyle w:val="Compact"/>
              <w:jc w:val="right"/>
            </w:pPr>
            <w:r>
              <w:t xml:space="preserve">2012</w:t>
            </w:r>
          </w:p>
        </w:tc>
        <w:tc>
          <w:p>
            <w:pPr>
              <w:pStyle w:val="Compact"/>
              <w:jc w:val="right"/>
            </w:pPr>
            <w:r>
              <w:t xml:space="preserve">94.7</w:t>
            </w:r>
          </w:p>
        </w:tc>
        <w:tc>
          <w:p>
            <w:pPr>
              <w:pStyle w:val="Compact"/>
              <w:jc w:val="right"/>
            </w:pPr>
            <w:r>
              <w:t xml:space="preserve">3.522</w:t>
            </w:r>
          </w:p>
        </w:tc>
        <w:tc>
          <w:p>
            <w:pPr>
              <w:pStyle w:val="Compact"/>
              <w:jc w:val="right"/>
            </w:pPr>
            <w:r>
              <w:t xml:space="preserve">8.725</w:t>
            </w:r>
          </w:p>
        </w:tc>
        <w:tc>
          <w:p>
            <w:pPr>
              <w:pStyle w:val="Compact"/>
              <w:jc w:val="right"/>
            </w:pPr>
            <w:r>
              <w:t xml:space="preserve">0.457</w:t>
            </w:r>
          </w:p>
        </w:tc>
        <w:tc>
          <w:p>
            <w:pPr>
              <w:pStyle w:val="Compact"/>
              <w:jc w:val="right"/>
            </w:pPr>
            <w:r>
              <w:t xml:space="preserve">0.099</w:t>
            </w:r>
          </w:p>
        </w:tc>
        <w:tc>
          <w:p>
            <w:pPr>
              <w:pStyle w:val="Compact"/>
              <w:jc w:val="right"/>
            </w:pPr>
            <w:r>
              <w:t xml:space="preserve">0.107</w:t>
            </w:r>
          </w:p>
        </w:tc>
        <w:tc>
          <w:p>
            <w:pPr>
              <w:pStyle w:val="Compact"/>
              <w:jc w:val="right"/>
            </w:pPr>
            <w:r>
              <w:t xml:space="preserve">1.712</w:t>
            </w:r>
          </w:p>
        </w:tc>
        <w:tc>
          <w:p>
            <w:pPr>
              <w:pStyle w:val="Compact"/>
              <w:jc w:val="right"/>
            </w:pPr>
            <w:r>
              <w:t xml:space="preserve">4.094</w:t>
            </w:r>
          </w:p>
        </w:tc>
      </w:tr>
      <w:tr>
        <w:tc>
          <w:p>
            <w:pPr>
              <w:pStyle w:val="Compact"/>
              <w:jc w:val="right"/>
            </w:pPr>
            <w:r>
              <w:t xml:space="preserve">2014</w:t>
            </w:r>
          </w:p>
        </w:tc>
        <w:tc>
          <w:p>
            <w:pPr>
              <w:pStyle w:val="Compact"/>
              <w:jc w:val="right"/>
            </w:pPr>
            <w:r>
              <w:t xml:space="preserve">2013</w:t>
            </w:r>
          </w:p>
        </w:tc>
        <w:tc>
          <w:p>
            <w:pPr>
              <w:pStyle w:val="Compact"/>
              <w:jc w:val="right"/>
            </w:pPr>
            <w:r>
              <w:t xml:space="preserve">37.2</w:t>
            </w:r>
          </w:p>
        </w:tc>
        <w:tc>
          <w:p>
            <w:pPr>
              <w:pStyle w:val="Compact"/>
              <w:jc w:val="right"/>
            </w:pPr>
            <w:r>
              <w:t xml:space="preserve">2.143</w:t>
            </w:r>
          </w:p>
        </w:tc>
        <w:tc>
          <w:p>
            <w:pPr>
              <w:pStyle w:val="Compact"/>
              <w:jc w:val="right"/>
            </w:pPr>
            <w:r>
              <w:t xml:space="preserve">8.865</w:t>
            </w:r>
          </w:p>
        </w:tc>
        <w:tc>
          <w:p>
            <w:pPr>
              <w:pStyle w:val="Compact"/>
              <w:jc w:val="right"/>
            </w:pPr>
            <w:r>
              <w:t xml:space="preserve">0.297</w:t>
            </w:r>
          </w:p>
        </w:tc>
        <w:tc>
          <w:p>
            <w:pPr>
              <w:pStyle w:val="Compact"/>
              <w:jc w:val="right"/>
            </w:pPr>
            <w:r>
              <w:t xml:space="preserve">0.055</w:t>
            </w:r>
          </w:p>
        </w:tc>
        <w:tc>
          <w:p>
            <w:pPr>
              <w:pStyle w:val="Compact"/>
              <w:jc w:val="right"/>
            </w:pPr>
            <w:r>
              <w:t xml:space="preserve">0.023</w:t>
            </w:r>
          </w:p>
        </w:tc>
        <w:tc>
          <w:p>
            <w:pPr>
              <w:pStyle w:val="Compact"/>
              <w:jc w:val="right"/>
            </w:pPr>
            <w:r>
              <w:t xml:space="preserve">1.088</w:t>
            </w:r>
          </w:p>
        </w:tc>
        <w:tc>
          <w:p>
            <w:pPr>
              <w:pStyle w:val="Compact"/>
              <w:jc w:val="right"/>
            </w:pPr>
            <w:r>
              <w:t xml:space="preserve">3.319</w:t>
            </w:r>
          </w:p>
        </w:tc>
      </w:tr>
      <w:tr>
        <w:tc>
          <w:p>
            <w:pPr>
              <w:pStyle w:val="Compact"/>
              <w:jc w:val="right"/>
            </w:pPr>
            <w:r>
              <w:t xml:space="preserve">2015</w:t>
            </w:r>
          </w:p>
        </w:tc>
        <w:tc>
          <w:p>
            <w:pPr>
              <w:pStyle w:val="Compact"/>
              <w:jc w:val="right"/>
            </w:pPr>
            <w:r>
              <w:t xml:space="preserve">2014</w:t>
            </w:r>
          </w:p>
        </w:tc>
        <w:tc>
          <w:p>
            <w:pPr>
              <w:pStyle w:val="Compact"/>
              <w:jc w:val="right"/>
            </w:pPr>
            <w:r>
              <w:t xml:space="preserve">35.1</w:t>
            </w:r>
          </w:p>
        </w:tc>
        <w:tc>
          <w:p>
            <w:pPr>
              <w:pStyle w:val="Compact"/>
              <w:jc w:val="right"/>
            </w:pPr>
            <w:r>
              <w:t xml:space="preserve">3.817</w:t>
            </w:r>
          </w:p>
        </w:tc>
        <w:tc>
          <w:p>
            <w:pPr>
              <w:pStyle w:val="Compact"/>
              <w:jc w:val="right"/>
            </w:pPr>
            <w:r>
              <w:t xml:space="preserve">9.093</w:t>
            </w:r>
          </w:p>
        </w:tc>
        <w:tc>
          <w:p>
            <w:pPr>
              <w:pStyle w:val="Compact"/>
              <w:jc w:val="right"/>
            </w:pPr>
            <w:r>
              <w:t xml:space="preserve">-0.485</w:t>
            </w:r>
          </w:p>
        </w:tc>
        <w:tc>
          <w:p>
            <w:pPr>
              <w:pStyle w:val="Compact"/>
              <w:jc w:val="right"/>
            </w:pPr>
            <w:r>
              <w:t xml:space="preserve">0.086</w:t>
            </w:r>
          </w:p>
        </w:tc>
        <w:tc>
          <w:p>
            <w:pPr>
              <w:pStyle w:val="Compact"/>
              <w:jc w:val="right"/>
            </w:pPr>
            <w:r>
              <w:t xml:space="preserve">0.102</w:t>
            </w:r>
          </w:p>
        </w:tc>
        <w:tc>
          <w:p>
            <w:pPr>
              <w:pStyle w:val="Compact"/>
              <w:jc w:val="right"/>
            </w:pPr>
            <w:r>
              <w:t xml:space="preserve">-1.804</w:t>
            </w:r>
          </w:p>
        </w:tc>
        <w:tc>
          <w:p>
            <w:pPr>
              <w:pStyle w:val="Compact"/>
              <w:jc w:val="right"/>
            </w:pPr>
            <w:r>
              <w:t xml:space="preserve">4.043</w:t>
            </w:r>
          </w:p>
        </w:tc>
      </w:tr>
      <w:tr>
        <w:tc>
          <w:p>
            <w:pPr>
              <w:pStyle w:val="Compact"/>
              <w:jc w:val="right"/>
            </w:pPr>
            <w:r>
              <w:t xml:space="preserve">2016</w:t>
            </w:r>
          </w:p>
        </w:tc>
        <w:tc>
          <w:p>
            <w:pPr>
              <w:pStyle w:val="Compact"/>
              <w:jc w:val="right"/>
            </w:pPr>
            <w:r>
              <w:t xml:space="preserve">2015</w:t>
            </w:r>
          </w:p>
        </w:tc>
        <w:tc>
          <w:p>
            <w:pPr>
              <w:pStyle w:val="Compact"/>
              <w:jc w:val="right"/>
            </w:pPr>
            <w:r>
              <w:t xml:space="preserve">18.4</w:t>
            </w:r>
          </w:p>
        </w:tc>
        <w:tc>
          <w:p>
            <w:pPr>
              <w:pStyle w:val="Compact"/>
              <w:jc w:val="right"/>
            </w:pPr>
            <w:r>
              <w:t xml:space="preserve">2.453</w:t>
            </w:r>
          </w:p>
        </w:tc>
        <w:tc>
          <w:p>
            <w:pPr>
              <w:pStyle w:val="Compact"/>
              <w:jc w:val="right"/>
            </w:pPr>
            <w:r>
              <w:t xml:space="preserve">9.645</w:t>
            </w:r>
          </w:p>
        </w:tc>
        <w:tc>
          <w:p>
            <w:pPr>
              <w:pStyle w:val="Compact"/>
              <w:jc w:val="right"/>
            </w:pPr>
            <w:r>
              <w:t xml:space="preserve">-0.138</w:t>
            </w:r>
          </w:p>
        </w:tc>
        <w:tc>
          <w:p>
            <w:pPr>
              <w:pStyle w:val="Compact"/>
              <w:jc w:val="right"/>
            </w:pPr>
            <w:r>
              <w:t xml:space="preserve">0.092</w:t>
            </w:r>
          </w:p>
        </w:tc>
        <w:tc>
          <w:p>
            <w:pPr>
              <w:pStyle w:val="Compact"/>
              <w:jc w:val="right"/>
            </w:pPr>
            <w:r>
              <w:t xml:space="preserve">0.009</w:t>
            </w:r>
          </w:p>
        </w:tc>
        <w:tc>
          <w:p>
            <w:pPr>
              <w:pStyle w:val="Compact"/>
              <w:jc w:val="right"/>
            </w:pPr>
            <w:r>
              <w:t xml:space="preserve">-0.514</w:t>
            </w:r>
          </w:p>
        </w:tc>
        <w:tc>
          <w:p>
            <w:pPr>
              <w:pStyle w:val="Compact"/>
              <w:jc w:val="right"/>
            </w:pPr>
            <w:r>
              <w:t xml:space="preserve">3.050</w:t>
            </w:r>
          </w:p>
        </w:tc>
      </w:tr>
      <w:tr>
        <w:tc>
          <w:p>
            <w:pPr>
              <w:pStyle w:val="Compact"/>
              <w:jc w:val="right"/>
            </w:pPr>
            <w:r>
              <w:t xml:space="preserve">2017</w:t>
            </w:r>
          </w:p>
        </w:tc>
        <w:tc>
          <w:p>
            <w:pPr>
              <w:pStyle w:val="Compact"/>
              <w:jc w:val="right"/>
            </w:pPr>
            <w:r>
              <w:t xml:space="preserve">2016</w:t>
            </w:r>
          </w:p>
        </w:tc>
        <w:tc>
          <w:p>
            <w:pPr>
              <w:pStyle w:val="Compact"/>
              <w:jc w:val="right"/>
            </w:pPr>
            <w:r>
              <w:t xml:space="preserve">34.7</w:t>
            </w:r>
          </w:p>
        </w:tc>
        <w:tc>
          <w:p>
            <w:pPr>
              <w:pStyle w:val="Compact"/>
              <w:jc w:val="right"/>
            </w:pPr>
            <w:r>
              <w:t xml:space="preserve">4.351</w:t>
            </w:r>
          </w:p>
        </w:tc>
        <w:tc>
          <w:p>
            <w:pPr>
              <w:pStyle w:val="Compact"/>
              <w:jc w:val="right"/>
            </w:pPr>
            <w:r>
              <w:t xml:space="preserve">10.297</w:t>
            </w:r>
          </w:p>
        </w:tc>
        <w:tc>
          <w:p>
            <w:pPr>
              <w:pStyle w:val="Compact"/>
              <w:jc w:val="right"/>
            </w:pPr>
            <w:r>
              <w:t xml:space="preserve">-0.109</w:t>
            </w:r>
          </w:p>
        </w:tc>
        <w:tc>
          <w:p>
            <w:pPr>
              <w:pStyle w:val="Compact"/>
              <w:jc w:val="right"/>
            </w:pPr>
            <w:r>
              <w:t xml:space="preserve">0.268</w:t>
            </w:r>
          </w:p>
        </w:tc>
        <w:tc>
          <w:p>
            <w:pPr>
              <w:pStyle w:val="Compact"/>
              <w:jc w:val="right"/>
            </w:pPr>
            <w:r>
              <w:t xml:space="preserve">0.025</w:t>
            </w:r>
          </w:p>
        </w:tc>
        <w:tc>
          <w:p>
            <w:pPr>
              <w:pStyle w:val="Compact"/>
              <w:jc w:val="right"/>
            </w:pPr>
            <w:r>
              <w:t xml:space="preserve">-0.452</w:t>
            </w:r>
          </w:p>
        </w:tc>
        <w:tc>
          <w:p>
            <w:pPr>
              <w:pStyle w:val="Compact"/>
              <w:jc w:val="right"/>
            </w:pPr>
            <w:r>
              <w:t xml:space="preserve">3.655</w:t>
            </w:r>
          </w:p>
        </w:tc>
      </w:tr>
      <w:tr>
        <w:tc>
          <w:p>
            <w:pPr>
              <w:pStyle w:val="Compact"/>
              <w:jc w:val="right"/>
            </w:pPr>
            <w:r>
              <w:t xml:space="preserve">2018</w:t>
            </w:r>
          </w:p>
        </w:tc>
        <w:tc>
          <w:p>
            <w:pPr>
              <w:pStyle w:val="Compact"/>
              <w:jc w:val="right"/>
            </w:pPr>
            <w:r>
              <w:t xml:space="preserve">2017</w:t>
            </w:r>
          </w:p>
        </w:tc>
        <w:tc>
          <w:p>
            <w:pPr>
              <w:pStyle w:val="Compact"/>
              <w:jc w:val="right"/>
            </w:pPr>
            <w:r>
              <w:t xml:space="preserve">8.1</w:t>
            </w:r>
          </w:p>
        </w:tc>
        <w:tc>
          <w:p>
            <w:pPr>
              <w:pStyle w:val="Compact"/>
              <w:jc w:val="right"/>
            </w:pPr>
            <w:r>
              <w:t xml:space="preserve">0.346</w:t>
            </w:r>
          </w:p>
        </w:tc>
        <w:tc>
          <w:p>
            <w:pPr>
              <w:pStyle w:val="Compact"/>
              <w:jc w:val="right"/>
            </w:pPr>
            <w:r>
              <w:t xml:space="preserve">8.560</w:t>
            </w:r>
          </w:p>
        </w:tc>
        <w:tc>
          <w:p>
            <w:pPr>
              <w:pStyle w:val="Compact"/>
              <w:jc w:val="right"/>
            </w:pPr>
            <w:r>
              <w:t xml:space="preserve">-0.484</w:t>
            </w:r>
          </w:p>
        </w:tc>
        <w:tc>
          <w:p>
            <w:pPr>
              <w:pStyle w:val="Compact"/>
              <w:jc w:val="right"/>
            </w:pPr>
            <w:r>
              <w:t xml:space="preserve">0.207</w:t>
            </w:r>
          </w:p>
        </w:tc>
        <w:tc>
          <w:p>
            <w:pPr>
              <w:pStyle w:val="Compact"/>
              <w:jc w:val="right"/>
            </w:pPr>
            <w:r>
              <w:t xml:space="preserve">0.325</w:t>
            </w:r>
          </w:p>
        </w:tc>
        <w:tc>
          <w:p>
            <w:pPr>
              <w:pStyle w:val="Compact"/>
              <w:jc w:val="right"/>
            </w:pPr>
            <w:r>
              <w:t xml:space="preserve">-1.933</w:t>
            </w:r>
          </w:p>
        </w:tc>
        <w:tc>
          <w:p>
            <w:pPr>
              <w:pStyle w:val="Compact"/>
              <w:jc w:val="right"/>
            </w:pPr>
            <w:r>
              <w:t xml:space="preserve">2.576</w:t>
            </w:r>
          </w:p>
        </w:tc>
      </w:tr>
      <w:tr>
        <w:tc>
          <w:p>
            <w:pPr>
              <w:pStyle w:val="Compact"/>
              <w:jc w:val="right"/>
            </w:pPr>
            <w:r>
              <w:t xml:space="preserve">2019</w:t>
            </w:r>
          </w:p>
        </w:tc>
        <w:tc>
          <w:p>
            <w:pPr>
              <w:pStyle w:val="Compact"/>
              <w:jc w:val="right"/>
            </w:pPr>
            <w:r>
              <w:t xml:space="preserve">2018</w:t>
            </w:r>
          </w:p>
        </w:tc>
        <w:tc>
          <w:p>
            <w:pPr>
              <w:pStyle w:val="Compact"/>
              <w:jc w:val="right"/>
            </w:pPr>
            <w:r>
              <w:t xml:space="preserve">21.1</w:t>
            </w:r>
          </w:p>
        </w:tc>
        <w:tc>
          <w:p>
            <w:pPr>
              <w:pStyle w:val="Compact"/>
              <w:jc w:val="right"/>
            </w:pPr>
            <w:r>
              <w:t xml:space="preserve">1.172</w:t>
            </w:r>
          </w:p>
        </w:tc>
        <w:tc>
          <w:p>
            <w:pPr>
              <w:pStyle w:val="Compact"/>
              <w:jc w:val="right"/>
            </w:pPr>
            <w:r>
              <w:t xml:space="preserve">8.925</w:t>
            </w:r>
          </w:p>
        </w:tc>
        <w:tc>
          <w:p>
            <w:pPr>
              <w:pStyle w:val="Compact"/>
              <w:jc w:val="right"/>
            </w:pPr>
            <w:r>
              <w:t xml:space="preserve">0.255</w:t>
            </w:r>
          </w:p>
        </w:tc>
        <w:tc>
          <w:p>
            <w:pPr>
              <w:pStyle w:val="Compact"/>
              <w:jc w:val="right"/>
            </w:pPr>
            <w:r>
              <w:t xml:space="preserve">0.107</w:t>
            </w:r>
          </w:p>
        </w:tc>
        <w:tc>
          <w:p>
            <w:pPr>
              <w:pStyle w:val="Compact"/>
              <w:jc w:val="right"/>
            </w:pPr>
            <w:r>
              <w:t xml:space="preserve">0.037</w:t>
            </w:r>
          </w:p>
        </w:tc>
        <w:tc>
          <w:p>
            <w:pPr>
              <w:pStyle w:val="Compact"/>
              <w:jc w:val="right"/>
            </w:pPr>
            <w:r>
              <w:t xml:space="preserve">0.959</w:t>
            </w:r>
          </w:p>
        </w:tc>
        <w:tc>
          <w:p>
            <w:pPr>
              <w:pStyle w:val="Compact"/>
              <w:jc w:val="right"/>
            </w:pPr>
            <w:r>
              <w:t xml:space="preserve">2.795</w:t>
            </w:r>
          </w:p>
        </w:tc>
      </w:tr>
      <w:tr>
        <w:tc>
          <w:p>
            <w:pPr>
              <w:pStyle w:val="Compact"/>
              <w:jc w:val="right"/>
            </w:pPr>
            <w:r>
              <w:t xml:space="preserve">2020</w:t>
            </w:r>
          </w:p>
        </w:tc>
        <w:tc>
          <w:p>
            <w:pPr>
              <w:pStyle w:val="Compact"/>
              <w:jc w:val="right"/>
            </w:pPr>
            <w:r>
              <w:t xml:space="preserve">2019</w:t>
            </w:r>
          </w:p>
        </w:tc>
        <w:tc>
          <w:p>
            <w:pPr>
              <w:pStyle w:val="Compact"/>
              <w:jc w:val="right"/>
            </w:pPr>
            <w:r>
              <w:t xml:space="preserve">8.1</w:t>
            </w:r>
          </w:p>
        </w:tc>
        <w:tc>
          <w:p>
            <w:pPr>
              <w:pStyle w:val="Compact"/>
              <w:jc w:val="right"/>
            </w:pPr>
            <w:r>
              <w:t xml:space="preserve">1.142</w:t>
            </w:r>
          </w:p>
        </w:tc>
        <w:tc>
          <w:p>
            <w:pPr>
              <w:pStyle w:val="Compact"/>
              <w:jc w:val="right"/>
            </w:pPr>
            <w:r>
              <w:t xml:space="preserve">9.911</w:t>
            </w:r>
          </w:p>
        </w:tc>
        <w:tc>
          <w:p>
            <w:pPr>
              <w:pStyle w:val="Compact"/>
              <w:jc w:val="right"/>
            </w:pPr>
            <w:r>
              <w:t xml:space="preserve">-0.153</w:t>
            </w:r>
          </w:p>
        </w:tc>
        <w:tc>
          <w:p>
            <w:pPr>
              <w:pStyle w:val="Compact"/>
              <w:jc w:val="right"/>
            </w:pPr>
            <w:r>
              <w:t xml:space="preserve">0.255</w:t>
            </w:r>
          </w:p>
        </w:tc>
        <w:tc>
          <w:p>
            <w:pPr>
              <w:pStyle w:val="Compact"/>
              <w:jc w:val="right"/>
            </w:pPr>
            <w:r>
              <w:t xml:space="preserve">0.045</w:t>
            </w:r>
          </w:p>
        </w:tc>
        <w:tc>
          <w:p>
            <w:pPr>
              <w:pStyle w:val="Compact"/>
              <w:jc w:val="right"/>
            </w:pPr>
            <w:r>
              <w:t xml:space="preserve">-0.630</w:t>
            </w:r>
          </w:p>
        </w:tc>
        <w:tc>
          <w:p>
            <w:pPr>
              <w:pStyle w:val="Compact"/>
              <w:jc w:val="right"/>
            </w:pPr>
            <w:r>
              <w:t xml:space="preserve">2.241</w:t>
            </w:r>
          </w:p>
        </w:tc>
      </w:tr>
    </w:tbl>
    <w:p>
      <w:pPr>
        <w:pStyle w:val="Heading2"/>
      </w:pPr>
      <w:bookmarkStart w:id="36" w:name="results"/>
      <w:bookmarkEnd w:id="36"/>
      <w:r>
        <w:t xml:space="preserve">Results</w:t>
      </w:r>
    </w:p>
    <w:p>
      <w:pPr>
        <w:pStyle w:val="FirstParagraph"/>
      </w:pPr>
      <w:r>
        <w:t xml:space="preserve">The best regression model based on the AICc value, the MASE metric, and significant coefficients in the model was model m2 (i.e., the model containing CPUE, and a May through July temperature variable). The adjusted</w:t>
      </w:r>
      <w:r>
        <w:t xml:space="preserve"> </w:t>
      </w:r>
      <m:oMath>
        <m:sSup>
          <m:e>
            <m:r>
              <m:t>R</m:t>
            </m:r>
          </m:e>
          <m:sup>
            <m:r>
              <m:t>2</m:t>
            </m:r>
          </m:sup>
        </m:sSup>
      </m:oMath>
      <w:r>
        <w:t xml:space="preserve"> </w:t>
      </w:r>
      <w:r>
        <w:t xml:space="preserve">value for model m2 was 0.83 (Table 2) indicating overall a good model fit. Based upon a model that includes juvenile pink salmon CPUE and May through July temperature (model m2), the 2021 SEAK pink salmon harvest is predicted to be in the moderate range with a point estimate (model mean) of 28.5 million fish (80% prediction interval: 19.4 to 41.7 million fish).</w:t>
      </w:r>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index4/results///figs/catch_plot_pred_a.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5: SEAK pink salmon harvest (millions) by year with the model fit (line). The predicted 2021 forecast is symbolized as a grey circle with an 80% prediction interval (19.4 to 41.7 million fish).</w:t>
      </w:r>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index4/results///figs/catch_plot_pred_b.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6: SEAK pink salmon harvest (millions) against the fitted values from model m2 by year. The dotted line is a one to one line.</w:t>
      </w:r>
    </w:p>
    <w:p>
      <w:pPr>
        <w:pStyle w:val="Heading1"/>
      </w:pPr>
      <w:bookmarkStart w:id="39" w:name="references"/>
      <w:bookmarkEnd w:id="39"/>
      <w:r>
        <w:t xml:space="preserve">References</w:t>
      </w:r>
    </w:p>
    <w:p>
      <w:pPr>
        <w:pStyle w:val="FirstParagraph"/>
      </w:pPr>
      <w:r>
        <w:t xml:space="preserve">Burnham, K. P., and D. R. Anderson. 2004. Multimodel inference: Understanding AIC and BIC in model selection. Sociological Methods and Research 33: 261-304.</w:t>
      </w:r>
    </w:p>
    <w:p>
      <w:pPr>
        <w:pStyle w:val="BodyText"/>
      </w:pPr>
      <w:r>
        <w:t xml:space="preserve">Cook, R. D. 1977. Detection of influential observations in linear regression. Technometrics 19: 15-18.</w:t>
      </w:r>
    </w:p>
    <w:p>
      <w:pPr>
        <w:pStyle w:val="BodyText"/>
      </w:pPr>
      <w:r>
        <w:t xml:space="preserve">Fox, J. and S. Weisburg. 2019. An R Companion to Applied Regression, Third Edition. Thousand Oaks CA: Sage Publications, Inc.</w:t>
      </w:r>
    </w:p>
    <w:p>
      <w:pPr>
        <w:pStyle w:val="BodyText"/>
      </w:pPr>
      <w:r>
        <w:t xml:space="preserve">Hyndman, R. J. and A. B. Koehler. 2006. Another look at measures of forecast accuracy. International Journal of Forecasting 22: 679-688.</w:t>
      </w:r>
    </w:p>
    <w:p>
      <w:pPr>
        <w:pStyle w:val="BodyText"/>
      </w:pPr>
      <w:r>
        <w:t xml:space="preserve">Murphy, J. M., E. A. Fergusson, A. Piston, A. Gray, and E. Farley. 2019. Southeast Alaska pink salmon growth and harvest forecast models. North Pacific Anadromous Fish Commisson Technical Report No. 15: 75-81.</w:t>
      </w:r>
    </w:p>
    <w:p>
      <w:pPr>
        <w:pStyle w:val="BodyText"/>
      </w:pPr>
      <w:r>
        <w:t xml:space="preserve">Orsi, J. A., E. A. Fergusson, A. C. Wertheimer, E. V. Farley, and P. R. Mundy. 2016. Forecasting pink salmon production in Southeast Alaska using ecosystem indicators in times of climate change. N. Pac. Anadr. Fish Comm. Bull. 6: 483–499. (Available at</w:t>
      </w:r>
      <w:r>
        <w:t xml:space="preserve"> </w:t>
      </w:r>
      <w:hyperlink r:id="rId40">
        <w:r>
          <w:rPr>
            <w:rStyle w:val="Hyperlink"/>
          </w:rPr>
          <w:t xml:space="preserve">https://npafc.org</w:t>
        </w:r>
      </w:hyperlink>
      <w:r>
        <w:t xml:space="preserve">)</w:t>
      </w:r>
    </w:p>
    <w:p>
      <w:pPr>
        <w:pStyle w:val="BodyText"/>
      </w:pPr>
      <w:r>
        <w:t xml:space="preserve">R Core Team. 2020. R: A language and environment for statistical computing. R Foundation for Statistical Computing, Vienna, Austria. URL:</w:t>
      </w:r>
      <w:r>
        <w:t xml:space="preserve"> </w:t>
      </w:r>
      <w:hyperlink r:id="rId41">
        <w:r>
          <w:rPr>
            <w:rStyle w:val="Hyperlink"/>
          </w:rPr>
          <w:t xml:space="preserve">http://www.r-project.org/index.html</w:t>
        </w:r>
      </w:hyperlink>
    </w:p>
    <w:p>
      <w:pPr>
        <w:pStyle w:val="BodyText"/>
      </w:pPr>
      <w:r>
        <w:t xml:space="preserve">Ren, Y. Y., L. C. Zhou, L. Yang, P. Y. Liu, B. W. Zhao, and H. X. Liu. 2016. Predicting the aquatic toxicity mode of action using logistic regression and linear discriminant analysis. SAR and QSAR in Environmental Research 27(9). DOI: 10.1080/1062936X.2016.1229691</w:t>
      </w:r>
    </w:p>
    <w:p>
      <w:pPr>
        <w:pStyle w:val="BodyText"/>
      </w:pPr>
      <w:r>
        <w:t xml:space="preserve">Wertheimer A. C., J. A. Orsi, M. V. Sturdevant, and E. A. Fergusson. 2006. Forecasting pink salmon harvest in Southeast Alaska from juvenile salmon abundance and associated environmental parameters. In Proceedings of the 22nd Northeast Pacific Pink and Chum Workshop. Edited by H. Geiger (Rapporteur). Pac. Salmon Comm. Vancouver, British Columbia. pp. 65–72.</w:t>
      </w:r>
    </w:p>
    <w:p>
      <w:pPr>
        <w:pStyle w:val="BodyText"/>
      </w:pPr>
      <w:r>
        <w:t xml:space="preserve">Zhang, Z. 2016. Residuals and regression diagnostics: focusing on logistic regression. Annals of Translational Medicine 4: 195.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753f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41" Target="http://www.r-project.org/index.html" TargetMode="External" /><Relationship Type="http://schemas.openxmlformats.org/officeDocument/2006/relationships/hyperlink" Id="rId40" Target="https://npafc.org" TargetMode="External" /></Relationships>
</file>

<file path=word/_rels/footnotes.xml.rels><?xml version="1.0" encoding="UTF-8"?>
<Relationships xmlns="http://schemas.openxmlformats.org/package/2006/relationships"><Relationship Type="http://schemas.openxmlformats.org/officeDocument/2006/relationships/hyperlink" Id="rId41" Target="http://www.r-project.org/index.html" TargetMode="External" /><Relationship Type="http://schemas.openxmlformats.org/officeDocument/2006/relationships/hyperlink" Id="rId40" Target="https://npaf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SEAK Pink Salmon Forecast</dc:title>
  <dc:creator>Sara Miller, Rich Brenner, Jim Murphy</dc:creator>
  <dcterms:created xsi:type="dcterms:W3CDTF">2020-11-04T23:01:13Z</dcterms:created>
  <dcterms:modified xsi:type="dcterms:W3CDTF">2020-11-04T23:01:13Z</dcterms:modified>
</cp:coreProperties>
</file>