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Pink</w:t>
      </w:r>
      <w:r>
        <w:t xml:space="preserve"> </w:t>
      </w:r>
      <w:r>
        <w:t xml:space="preserve">Salmon</w:t>
      </w:r>
      <w:r>
        <w:t xml:space="preserve"> </w:t>
      </w:r>
      <w:r>
        <w:t xml:space="preserve">Vessel</w:t>
      </w:r>
      <w:r>
        <w:t xml:space="preserve"> </w:t>
      </w:r>
      <w:r>
        <w:t xml:space="preserve">Calibration</w:t>
      </w:r>
      <w:r>
        <w:t xml:space="preserve"> </w:t>
      </w:r>
      <w:r>
        <w:t xml:space="preserve">Coefficient</w:t>
      </w:r>
      <w:r>
        <w:t xml:space="preserve"> </w:t>
      </w:r>
      <w:r>
        <w:t xml:space="preserve">Discussion</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Jim</w:t>
      </w:r>
      <w:r>
        <w:t xml:space="preserve"> </w:t>
      </w:r>
      <w:r>
        <w:t xml:space="preserve">Murphy</w:t>
      </w:r>
    </w:p>
    <w:p>
      <w:pPr>
        <w:pStyle w:val="Date"/>
      </w:pPr>
      <w:r>
        <w:t xml:space="preserve">November</w:t>
      </w:r>
      <w:r>
        <w:t xml:space="preserve"> </w:t>
      </w:r>
      <w:r>
        <w:t xml:space="preserve">4,</w:t>
      </w:r>
      <w:r>
        <w:t xml:space="preserve"> </w:t>
      </w:r>
      <w:r>
        <w:t xml:space="preserve">2020--draft</w:t>
      </w:r>
    </w:p>
    <w:p>
      <w:pPr>
        <w:pStyle w:val="Heading1"/>
      </w:pPr>
      <w:bookmarkStart w:id="21" w:name="output"/>
      <w:bookmarkEnd w:id="21"/>
      <w:r>
        <w:t xml:space="preserve">output:</w:t>
      </w:r>
    </w:p>
    <w:p>
      <w:pPr>
        <w:pStyle w:val="Heading1"/>
      </w:pPr>
      <w:bookmarkStart w:id="22" w:name="bookdownpdf_document2"/>
      <w:bookmarkEnd w:id="22"/>
      <w:r>
        <w:t xml:space="preserve">bookdown::pdf_document2:</w:t>
      </w:r>
    </w:p>
    <w:p>
      <w:pPr>
        <w:pStyle w:val="Heading1"/>
      </w:pPr>
      <w:bookmarkStart w:id="23" w:name="fig_caption-yes"/>
      <w:bookmarkEnd w:id="23"/>
      <w:r>
        <w:t xml:space="preserve">fig_caption: yes</w:t>
      </w:r>
    </w:p>
    <w:p>
      <w:pPr>
        <w:pStyle w:val="Heading1"/>
      </w:pPr>
      <w:bookmarkStart w:id="24" w:name="toc-yes"/>
      <w:bookmarkEnd w:id="24"/>
      <w:r>
        <w:t xml:space="preserve">toc: yes</w:t>
      </w:r>
    </w:p>
    <w:p>
      <w:pPr>
        <w:pStyle w:val="Heading1"/>
      </w:pPr>
      <w:bookmarkStart w:id="25" w:name="header-includes"/>
      <w:bookmarkEnd w:id="25"/>
      <w:r>
        <w:t xml:space="preserve">header-includes:</w:t>
      </w:r>
    </w:p>
    <w:p>
      <w:pPr>
        <w:pStyle w:val="Heading2"/>
      </w:pPr>
      <w:bookmarkStart w:id="26" w:name="section"/>
      <w:bookmarkEnd w:id="26"/>
      <w:r>
        <w:t xml:space="preserve">#</w:t>
      </w:r>
      <w:r>
        <w:t xml:space="preserve"> </w:t>
      </w:r>
    </w:p>
    <w:p>
      <w:pPr>
        <w:pStyle w:val="Heading1"/>
      </w:pPr>
      <w:bookmarkStart w:id="27" w:name="objective"/>
      <w:bookmarkEnd w:id="27"/>
      <w:r>
        <w:t xml:space="preserve">Objective</w:t>
      </w:r>
    </w:p>
    <w:p>
      <w:pPr>
        <w:pStyle w:val="FirstParagraph"/>
      </w:pPr>
      <w:r>
        <w:t xml:space="preserve">To determine the vessel calibration coefficient to calculate the corresponding index of juvenile abundance for the 2021 SEAK pink salmon forecast models.</w:t>
      </w:r>
    </w:p>
    <w:p>
      <w:pPr>
        <w:pStyle w:val="Heading1"/>
      </w:pPr>
      <w:bookmarkStart w:id="28" w:name="background"/>
      <w:bookmarkEnd w:id="28"/>
      <w:r>
        <w:t xml:space="preserve">Background</w:t>
      </w:r>
    </w:p>
    <w:p>
      <w:pPr>
        <w:pStyle w:val="FirstParagraph"/>
      </w:pPr>
      <w:r>
        <w:t xml:space="preserve">Excerpted from Wertheimer et al. 2010:</w:t>
      </w:r>
    </w:p>
    <w:p>
      <w:pPr>
        <w:pStyle w:val="BodyText"/>
      </w:pPr>
      <w:r>
        <w:t xml:space="preserve">"From 1997 to 2007, SECM used the NOAA ship</w:t>
      </w:r>
      <w:r>
        <w:t xml:space="preserve"> </w:t>
      </w:r>
      <w:r>
        <w:rPr>
          <w:i/>
        </w:rPr>
        <w:t xml:space="preserve">John N. Cobb</w:t>
      </w:r>
      <w:r>
        <w:t xml:space="preserve"> </w:t>
      </w:r>
      <w:r>
        <w:t xml:space="preserve">to accrue an 11 year time series of catches with a Nordic 264 rope trawl fished at the surface... (Orsi et al. 2000, 2008)... In 2007, in anticipation of the decommissioning of the</w:t>
      </w:r>
      <w:r>
        <w:t xml:space="preserve"> </w:t>
      </w:r>
      <w:r>
        <w:rPr>
          <w:i/>
        </w:rPr>
        <w:t xml:space="preserve">John N. Cobb</w:t>
      </w:r>
      <w:r>
        <w:t xml:space="preserve">, the</w:t>
      </w:r>
      <w:r>
        <w:t xml:space="preserve"> </w:t>
      </w:r>
      <w:r>
        <w:rPr>
          <w:i/>
        </w:rPr>
        <w:t xml:space="preserve">Medeia</w:t>
      </w:r>
      <w:r>
        <w:t xml:space="preserve"> </w:t>
      </w:r>
      <w:r>
        <w:t xml:space="preserve">and the</w:t>
      </w:r>
      <w:r>
        <w:t xml:space="preserve"> </w:t>
      </w:r>
      <w:r>
        <w:rPr>
          <w:i/>
        </w:rPr>
        <w:t xml:space="preserve">John N. Cobb</w:t>
      </w:r>
      <w:r>
        <w:t xml:space="preserve"> </w:t>
      </w:r>
      <w:r>
        <w:t xml:space="preserve">fished synoptically for 28 pairs of trawl hauls to develop calibration factors in the event of differential catch rates between the two vessels (Wertheimer et al. 2008). In 2008, the</w:t>
      </w:r>
      <w:r>
        <w:t xml:space="preserve"> </w:t>
      </w:r>
      <w:r>
        <w:rPr>
          <w:i/>
        </w:rPr>
        <w:t xml:space="preserve">Medeia</w:t>
      </w:r>
      <w:r>
        <w:t xml:space="preserve"> </w:t>
      </w:r>
      <w:r>
        <w:t xml:space="preserve">fished synoptically with the chartered research vessel</w:t>
      </w:r>
      <w:r>
        <w:t xml:space="preserve"> </w:t>
      </w:r>
      <w:r>
        <w:rPr>
          <w:i/>
        </w:rPr>
        <w:t xml:space="preserve">Steller</w:t>
      </w:r>
      <w:r>
        <w:t xml:space="preserve"> </w:t>
      </w:r>
      <w:r>
        <w:t xml:space="preserve">to determine relative fishing efficiency so that</w:t>
      </w:r>
      <w:r>
        <w:t xml:space="preserve"> </w:t>
      </w:r>
      <w:r>
        <w:rPr>
          <w:i/>
        </w:rPr>
        <w:t xml:space="preserve">Steller</w:t>
      </w:r>
      <w:r>
        <w:t xml:space="preserve"> </w:t>
      </w:r>
      <w:r>
        <w:t xml:space="preserve">catches could then be compared and calibrated to the SECM data series from the</w:t>
      </w:r>
      <w:r>
        <w:t xml:space="preserve"> </w:t>
      </w:r>
      <w:r>
        <w:rPr>
          <w:i/>
        </w:rPr>
        <w:t xml:space="preserve">John N. Cobb</w:t>
      </w:r>
      <w:r>
        <w:t xml:space="preserve"> </w:t>
      </w:r>
      <w:r>
        <w:t xml:space="preserve">(Wertheimer et al. 2009). In 2009, the commercial trawler</w:t>
      </w:r>
      <w:r>
        <w:t xml:space="preserve"> </w:t>
      </w:r>
      <w:r>
        <w:rPr>
          <w:i/>
        </w:rPr>
        <w:t xml:space="preserve">Chellissa</w:t>
      </w:r>
      <w:r>
        <w:t xml:space="preserve"> </w:t>
      </w:r>
      <w:r>
        <w:t xml:space="preserve">was chartered to fish the SECM transects in the northern and southern regions of Southeast Alaska. The</w:t>
      </w:r>
      <w:r>
        <w:t xml:space="preserve"> </w:t>
      </w:r>
      <w:r>
        <w:rPr>
          <w:i/>
        </w:rPr>
        <w:t xml:space="preserve">Medeia</w:t>
      </w:r>
      <w:r>
        <w:t xml:space="preserve"> </w:t>
      </w:r>
      <w:r>
        <w:t xml:space="preserve">was again fished synoptically in the northern region transects to determine relative fishing efficiency (Table 1)."</w:t>
      </w:r>
    </w:p>
    <w:p>
      <w:pPr>
        <w:pStyle w:val="BodyText"/>
      </w:pPr>
      <w:r>
        <w:t xml:space="preserve">Historically....</w:t>
      </w:r>
      <w:r>
        <w:br w:type="textWrapping"/>
      </w:r>
      <w:r>
        <w:t xml:space="preserve">For the 2021 SEAK pink salmon forecast, there was a discussion as to which vessel calibration coefficient to use going forward. Using the four potential vessel calibration types (pink_cal_mixspecies, pink_cal_mixpool, pink_cal_species, pink_cal_pool; Table 1), the corresponding index of juvenile abundance was slightly different (i.e., CPUE; standardized pink salmon catch based on a 20 minute trawl set by year; Table 2). To calculate the index of juvenile abundance by calibration type, the log-transformed pink salmon catch (standardized to an effort of a 20 minute trawl set), by haul, is multiplied by a vessel calibration coefficient (Table 1). Then, this value is averaged by month and year; whichever month had the highest average catches in a given year is then used as the juvenile abundance index for that particaular year (Table 2). This index of juvenile abundance is then used as the variable 'CPUE' in the 2021 SEAK pink salmon forecast models.</w:t>
      </w:r>
    </w:p>
    <w:p>
      <w:pPr>
        <w:pStyle w:val="TableCaption"/>
      </w:pPr>
      <w:r>
        <w:t xml:space="preserve">Vessel calibration coefficients (inverse of the fishing power coefficients in Table 3) used to convert vessel-specific catches to</w:t>
      </w:r>
      <w:r>
        <w:t xml:space="preserve"> </w:t>
      </w:r>
      <w:r>
        <w:rPr>
          <w:i/>
        </w:rPr>
        <w:t xml:space="preserve">Cobb</w:t>
      </w:r>
      <w:r>
        <w:t xml:space="preserve"> </w:t>
      </w:r>
      <w:r>
        <w:t xml:space="preserve">units.</w:t>
      </w:r>
    </w:p>
    <w:tbl>
      <w:tblPr>
        <w:tblStyle w:val="TableNormal"/>
        <w:tblW w:type="pct" w:w="0.0"/>
        <w:tblLook w:firstRow="1"/>
        <w:tblCaption w:val="Vessel calibration coefficients (inverse of the fishing power coefficients in Table 3) used to convert vessel-specific catches to Cobb units."/>
      </w:tblPr>
      <w:tblGrid/>
      <w:tr>
        <w:trPr>
          <w:cnfStyle w:firstRow="1"/>
        </w:trPr>
        <w:tc>
          <w:tcPr>
            <w:tcBorders>
              <w:bottom w:val="single"/>
            </w:tcBorders>
            <w:vAlign w:val="bottom"/>
          </w:tcPr>
          <w:p>
            <w:pPr>
              <w:pStyle w:val="Compact"/>
              <w:jc w:val="left"/>
            </w:pPr>
            <w:r>
              <w:t xml:space="preserve">Vessel</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Cobb</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Chellissa</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NW Explorer</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Steller</w:t>
            </w:r>
          </w:p>
        </w:tc>
        <w:tc>
          <w:p>
            <w:pPr>
              <w:pStyle w:val="Compact"/>
              <w:jc w:val="right"/>
            </w:pPr>
            <w:r>
              <w:t xml:space="preserve">1.04</w:t>
            </w:r>
          </w:p>
        </w:tc>
        <w:tc>
          <w:p>
            <w:pPr>
              <w:pStyle w:val="Compact"/>
              <w:jc w:val="right"/>
            </w:pPr>
            <w:r>
              <w:t xml:space="preserve">0.95</w:t>
            </w:r>
          </w:p>
        </w:tc>
        <w:tc>
          <w:p>
            <w:pPr>
              <w:pStyle w:val="Compact"/>
              <w:jc w:val="right"/>
            </w:pPr>
            <w:r>
              <w:t xml:space="preserve">1.04</w:t>
            </w:r>
          </w:p>
        </w:tc>
        <w:tc>
          <w:p>
            <w:pPr>
              <w:pStyle w:val="Compact"/>
              <w:jc w:val="right"/>
            </w:pPr>
            <w:r>
              <w:t xml:space="preserve">0.95</w:t>
            </w:r>
          </w:p>
        </w:tc>
      </w:tr>
      <w:tr>
        <w:tc>
          <w:p>
            <w:pPr>
              <w:pStyle w:val="Compact"/>
              <w:jc w:val="left"/>
            </w:pPr>
            <w:r>
              <w:t xml:space="preserve">Medeia</w:t>
            </w:r>
          </w:p>
        </w:tc>
        <w:tc>
          <w:p>
            <w:pPr>
              <w:pStyle w:val="Compact"/>
              <w:jc w:val="right"/>
            </w:pPr>
            <w:r>
              <w:t xml:space="preserve">0.88</w:t>
            </w:r>
          </w:p>
        </w:tc>
        <w:tc>
          <w:p>
            <w:pPr>
              <w:pStyle w:val="Compact"/>
              <w:jc w:val="right"/>
            </w:pPr>
            <w:r>
              <w:t xml:space="preserve">0.84</w:t>
            </w:r>
          </w:p>
        </w:tc>
        <w:tc>
          <w:p>
            <w:pPr>
              <w:pStyle w:val="Compact"/>
              <w:jc w:val="right"/>
            </w:pPr>
            <w:r>
              <w:t xml:space="preserve">0.88</w:t>
            </w:r>
          </w:p>
        </w:tc>
        <w:tc>
          <w:p>
            <w:pPr>
              <w:pStyle w:val="Compact"/>
              <w:jc w:val="right"/>
            </w:pPr>
            <w:r>
              <w:t xml:space="preserve">0.84</w:t>
            </w:r>
          </w:p>
        </w:tc>
      </w:tr>
    </w:tbl>
    <w:p>
      <w:pPr>
        <w:pStyle w:val="TableCaption"/>
      </w:pPr>
      <w:r>
        <w:t xml:space="preserve">The datasets for the variable CPUE (index of juvenile pink salmon abundance based on log-transformed catches that are standardized to an effort of a 20 minute trawl set) using different vessel calibration coefficients.</w:t>
      </w:r>
    </w:p>
    <w:tbl>
      <w:tblPr>
        <w:tblStyle w:val="TableNormal"/>
        <w:tblW w:type="pct" w:w="0.0"/>
        <w:tblLook w:firstRow="1"/>
        <w:tblCaption w:val="The datasets for the variable CPUE (index of juvenile pink salmon abundance based on log-transformed catches that are standardized to an effort of a 20 minute trawl set) using different vessel calibration coefficients."/>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pink_cal_mixspecies</w:t>
            </w:r>
          </w:p>
        </w:tc>
        <w:tc>
          <w:tcPr>
            <w:tcBorders>
              <w:bottom w:val="single"/>
            </w:tcBorders>
            <w:vAlign w:val="bottom"/>
          </w:tcPr>
          <w:p>
            <w:pPr>
              <w:pStyle w:val="Compact"/>
              <w:jc w:val="right"/>
            </w:pPr>
            <w:r>
              <w:t xml:space="preserve">pink_cal_mixpool</w:t>
            </w:r>
          </w:p>
        </w:tc>
        <w:tc>
          <w:tcPr>
            <w:tcBorders>
              <w:bottom w:val="single"/>
            </w:tcBorders>
            <w:vAlign w:val="bottom"/>
          </w:tcPr>
          <w:p>
            <w:pPr>
              <w:pStyle w:val="Compact"/>
              <w:jc w:val="right"/>
            </w:pPr>
            <w:r>
              <w:t xml:space="preserve">pink_cal_species</w:t>
            </w:r>
          </w:p>
        </w:tc>
        <w:tc>
          <w:tcPr>
            <w:tcBorders>
              <w:bottom w:val="single"/>
            </w:tcBorders>
            <w:vAlign w:val="bottom"/>
          </w:tcPr>
          <w:p>
            <w:pPr>
              <w:pStyle w:val="Compact"/>
              <w:jc w:val="right"/>
            </w:pPr>
            <w:r>
              <w:t xml:space="preserve">pink_cal_pool</w:t>
            </w:r>
          </w:p>
        </w:tc>
      </w:tr>
      <w:tr>
        <w:tc>
          <w:p>
            <w:pPr>
              <w:pStyle w:val="Compact"/>
              <w:jc w:val="left"/>
            </w:pPr>
            <w:r>
              <w:t xml:space="preserve">1997</w:t>
            </w:r>
          </w:p>
        </w:tc>
        <w:tc>
          <w:p>
            <w:pPr>
              <w:pStyle w:val="Compact"/>
              <w:jc w:val="right"/>
            </w:pPr>
            <w:r>
              <w:t xml:space="preserve">2.477744</w:t>
            </w:r>
          </w:p>
        </w:tc>
        <w:tc>
          <w:p>
            <w:pPr>
              <w:pStyle w:val="Compact"/>
              <w:jc w:val="right"/>
            </w:pPr>
            <w:r>
              <w:t xml:space="preserve">2.477744</w:t>
            </w:r>
          </w:p>
        </w:tc>
        <w:tc>
          <w:p>
            <w:pPr>
              <w:pStyle w:val="Compact"/>
              <w:jc w:val="right"/>
            </w:pPr>
            <w:r>
              <w:t xml:space="preserve">2.4777444</w:t>
            </w:r>
          </w:p>
        </w:tc>
        <w:tc>
          <w:p>
            <w:pPr>
              <w:pStyle w:val="Compact"/>
              <w:jc w:val="right"/>
            </w:pPr>
            <w:r>
              <w:t xml:space="preserve">2.4777444</w:t>
            </w:r>
          </w:p>
        </w:tc>
      </w:tr>
      <w:tr>
        <w:tc>
          <w:p>
            <w:pPr>
              <w:pStyle w:val="Compact"/>
              <w:jc w:val="left"/>
            </w:pPr>
            <w:r>
              <w:t xml:space="preserve">1998</w:t>
            </w:r>
          </w:p>
        </w:tc>
        <w:tc>
          <w:p>
            <w:pPr>
              <w:pStyle w:val="Compact"/>
              <w:jc w:val="right"/>
            </w:pPr>
            <w:r>
              <w:t xml:space="preserve">5.622380</w:t>
            </w:r>
          </w:p>
        </w:tc>
        <w:tc>
          <w:p>
            <w:pPr>
              <w:pStyle w:val="Compact"/>
              <w:jc w:val="right"/>
            </w:pPr>
            <w:r>
              <w:t xml:space="preserve">5.622380</w:t>
            </w:r>
          </w:p>
        </w:tc>
        <w:tc>
          <w:p>
            <w:pPr>
              <w:pStyle w:val="Compact"/>
              <w:jc w:val="right"/>
            </w:pPr>
            <w:r>
              <w:t xml:space="preserve">5.6223800</w:t>
            </w:r>
          </w:p>
        </w:tc>
        <w:tc>
          <w:p>
            <w:pPr>
              <w:pStyle w:val="Compact"/>
              <w:jc w:val="right"/>
            </w:pPr>
            <w:r>
              <w:t xml:space="preserve">5.6223800</w:t>
            </w:r>
          </w:p>
        </w:tc>
      </w:tr>
      <w:tr>
        <w:tc>
          <w:p>
            <w:pPr>
              <w:pStyle w:val="Compact"/>
              <w:jc w:val="left"/>
            </w:pPr>
            <w:r>
              <w:t xml:space="preserve">1999</w:t>
            </w:r>
          </w:p>
        </w:tc>
        <w:tc>
          <w:p>
            <w:pPr>
              <w:pStyle w:val="Compact"/>
              <w:jc w:val="right"/>
            </w:pPr>
            <w:r>
              <w:t xml:space="preserve">1.597723</w:t>
            </w:r>
          </w:p>
        </w:tc>
        <w:tc>
          <w:p>
            <w:pPr>
              <w:pStyle w:val="Compact"/>
              <w:jc w:val="right"/>
            </w:pPr>
            <w:r>
              <w:t xml:space="preserve">1.597723</w:t>
            </w:r>
          </w:p>
        </w:tc>
        <w:tc>
          <w:p>
            <w:pPr>
              <w:pStyle w:val="Compact"/>
              <w:jc w:val="right"/>
            </w:pPr>
            <w:r>
              <w:t xml:space="preserve">1.5977233</w:t>
            </w:r>
          </w:p>
        </w:tc>
        <w:tc>
          <w:p>
            <w:pPr>
              <w:pStyle w:val="Compact"/>
              <w:jc w:val="right"/>
            </w:pPr>
            <w:r>
              <w:t xml:space="preserve">1.5977233</w:t>
            </w:r>
          </w:p>
        </w:tc>
      </w:tr>
      <w:tr>
        <w:tc>
          <w:p>
            <w:pPr>
              <w:pStyle w:val="Compact"/>
              <w:jc w:val="left"/>
            </w:pPr>
            <w:r>
              <w:t xml:space="preserve">2000</w:t>
            </w:r>
          </w:p>
        </w:tc>
        <w:tc>
          <w:p>
            <w:pPr>
              <w:pStyle w:val="Compact"/>
              <w:jc w:val="right"/>
            </w:pPr>
            <w:r>
              <w:t xml:space="preserve">3.729985</w:t>
            </w:r>
          </w:p>
        </w:tc>
        <w:tc>
          <w:p>
            <w:pPr>
              <w:pStyle w:val="Compact"/>
              <w:jc w:val="right"/>
            </w:pPr>
            <w:r>
              <w:t xml:space="preserve">3.729985</w:t>
            </w:r>
          </w:p>
        </w:tc>
        <w:tc>
          <w:p>
            <w:pPr>
              <w:pStyle w:val="Compact"/>
              <w:jc w:val="right"/>
            </w:pPr>
            <w:r>
              <w:t xml:space="preserve">3.7299847</w:t>
            </w:r>
          </w:p>
        </w:tc>
        <w:tc>
          <w:p>
            <w:pPr>
              <w:pStyle w:val="Compact"/>
              <w:jc w:val="right"/>
            </w:pPr>
            <w:r>
              <w:t xml:space="preserve">3.7299847</w:t>
            </w:r>
          </w:p>
        </w:tc>
      </w:tr>
      <w:tr>
        <w:tc>
          <w:p>
            <w:pPr>
              <w:pStyle w:val="Compact"/>
              <w:jc w:val="left"/>
            </w:pPr>
            <w:r>
              <w:t xml:space="preserve">2001</w:t>
            </w:r>
          </w:p>
        </w:tc>
        <w:tc>
          <w:p>
            <w:pPr>
              <w:pStyle w:val="Compact"/>
              <w:jc w:val="right"/>
            </w:pPr>
            <w:r>
              <w:t xml:space="preserve">2.868826</w:t>
            </w:r>
          </w:p>
        </w:tc>
        <w:tc>
          <w:p>
            <w:pPr>
              <w:pStyle w:val="Compact"/>
              <w:jc w:val="right"/>
            </w:pPr>
            <w:r>
              <w:t xml:space="preserve">2.868826</w:t>
            </w:r>
          </w:p>
        </w:tc>
        <w:tc>
          <w:p>
            <w:pPr>
              <w:pStyle w:val="Compact"/>
              <w:jc w:val="right"/>
            </w:pPr>
            <w:r>
              <w:t xml:space="preserve">2.8688260</w:t>
            </w:r>
          </w:p>
        </w:tc>
        <w:tc>
          <w:p>
            <w:pPr>
              <w:pStyle w:val="Compact"/>
              <w:jc w:val="right"/>
            </w:pPr>
            <w:r>
              <w:t xml:space="preserve">2.8688260</w:t>
            </w:r>
          </w:p>
        </w:tc>
      </w:tr>
      <w:tr>
        <w:tc>
          <w:p>
            <w:pPr>
              <w:pStyle w:val="Compact"/>
              <w:jc w:val="left"/>
            </w:pPr>
            <w:r>
              <w:t xml:space="preserve">2002</w:t>
            </w:r>
          </w:p>
        </w:tc>
        <w:tc>
          <w:p>
            <w:pPr>
              <w:pStyle w:val="Compact"/>
              <w:jc w:val="right"/>
            </w:pPr>
            <w:r>
              <w:t xml:space="preserve">2.784664</w:t>
            </w:r>
          </w:p>
        </w:tc>
        <w:tc>
          <w:p>
            <w:pPr>
              <w:pStyle w:val="Compact"/>
              <w:jc w:val="right"/>
            </w:pPr>
            <w:r>
              <w:t xml:space="preserve">2.784664</w:t>
            </w:r>
          </w:p>
        </w:tc>
        <w:tc>
          <w:p>
            <w:pPr>
              <w:pStyle w:val="Compact"/>
              <w:jc w:val="right"/>
            </w:pPr>
            <w:r>
              <w:t xml:space="preserve">2.7846641</w:t>
            </w:r>
          </w:p>
        </w:tc>
        <w:tc>
          <w:p>
            <w:pPr>
              <w:pStyle w:val="Compact"/>
              <w:jc w:val="right"/>
            </w:pPr>
            <w:r>
              <w:t xml:space="preserve">2.7846641</w:t>
            </w:r>
          </w:p>
        </w:tc>
      </w:tr>
      <w:tr>
        <w:tc>
          <w:p>
            <w:pPr>
              <w:pStyle w:val="Compact"/>
              <w:jc w:val="left"/>
            </w:pPr>
            <w:r>
              <w:t xml:space="preserve">2003</w:t>
            </w:r>
          </w:p>
        </w:tc>
        <w:tc>
          <w:p>
            <w:pPr>
              <w:pStyle w:val="Compact"/>
              <w:jc w:val="right"/>
            </w:pPr>
            <w:r>
              <w:t xml:space="preserve">3.077820</w:t>
            </w:r>
          </w:p>
        </w:tc>
        <w:tc>
          <w:p>
            <w:pPr>
              <w:pStyle w:val="Compact"/>
              <w:jc w:val="right"/>
            </w:pPr>
            <w:r>
              <w:t xml:space="preserve">3.077820</w:t>
            </w:r>
          </w:p>
        </w:tc>
        <w:tc>
          <w:p>
            <w:pPr>
              <w:pStyle w:val="Compact"/>
              <w:jc w:val="right"/>
            </w:pPr>
            <w:r>
              <w:t xml:space="preserve">3.0778204</w:t>
            </w:r>
          </w:p>
        </w:tc>
        <w:tc>
          <w:p>
            <w:pPr>
              <w:pStyle w:val="Compact"/>
              <w:jc w:val="right"/>
            </w:pPr>
            <w:r>
              <w:t xml:space="preserve">3.0778204</w:t>
            </w:r>
          </w:p>
        </w:tc>
      </w:tr>
      <w:tr>
        <w:tc>
          <w:p>
            <w:pPr>
              <w:pStyle w:val="Compact"/>
              <w:jc w:val="left"/>
            </w:pPr>
            <w:r>
              <w:t xml:space="preserve">2004</w:t>
            </w:r>
          </w:p>
        </w:tc>
        <w:tc>
          <w:p>
            <w:pPr>
              <w:pStyle w:val="Compact"/>
              <w:jc w:val="right"/>
            </w:pPr>
            <w:r>
              <w:t xml:space="preserve">3.899407</w:t>
            </w:r>
          </w:p>
        </w:tc>
        <w:tc>
          <w:p>
            <w:pPr>
              <w:pStyle w:val="Compact"/>
              <w:jc w:val="right"/>
            </w:pPr>
            <w:r>
              <w:t xml:space="preserve">3.899407</w:t>
            </w:r>
          </w:p>
        </w:tc>
        <w:tc>
          <w:p>
            <w:pPr>
              <w:pStyle w:val="Compact"/>
              <w:jc w:val="right"/>
            </w:pPr>
            <w:r>
              <w:t xml:space="preserve">3.8994067</w:t>
            </w:r>
          </w:p>
        </w:tc>
        <w:tc>
          <w:p>
            <w:pPr>
              <w:pStyle w:val="Compact"/>
              <w:jc w:val="right"/>
            </w:pPr>
            <w:r>
              <w:t xml:space="preserve">3.8994067</w:t>
            </w:r>
          </w:p>
        </w:tc>
      </w:tr>
      <w:tr>
        <w:tc>
          <w:p>
            <w:pPr>
              <w:pStyle w:val="Compact"/>
              <w:jc w:val="left"/>
            </w:pPr>
            <w:r>
              <w:t xml:space="preserve">2005</w:t>
            </w:r>
          </w:p>
        </w:tc>
        <w:tc>
          <w:p>
            <w:pPr>
              <w:pStyle w:val="Compact"/>
              <w:jc w:val="right"/>
            </w:pPr>
            <w:r>
              <w:t xml:space="preserve">2.040345</w:t>
            </w:r>
          </w:p>
        </w:tc>
        <w:tc>
          <w:p>
            <w:pPr>
              <w:pStyle w:val="Compact"/>
              <w:jc w:val="right"/>
            </w:pPr>
            <w:r>
              <w:t xml:space="preserve">2.040345</w:t>
            </w:r>
          </w:p>
        </w:tc>
        <w:tc>
          <w:p>
            <w:pPr>
              <w:pStyle w:val="Compact"/>
              <w:jc w:val="right"/>
            </w:pPr>
            <w:r>
              <w:t xml:space="preserve">2.0403454</w:t>
            </w:r>
          </w:p>
        </w:tc>
        <w:tc>
          <w:p>
            <w:pPr>
              <w:pStyle w:val="Compact"/>
              <w:jc w:val="right"/>
            </w:pPr>
            <w:r>
              <w:t xml:space="preserve">2.0403454</w:t>
            </w:r>
          </w:p>
        </w:tc>
      </w:tr>
      <w:tr>
        <w:tc>
          <w:p>
            <w:pPr>
              <w:pStyle w:val="Compact"/>
              <w:jc w:val="left"/>
            </w:pPr>
            <w:r>
              <w:t xml:space="preserve">2006</w:t>
            </w:r>
          </w:p>
        </w:tc>
        <w:tc>
          <w:p>
            <w:pPr>
              <w:pStyle w:val="Compact"/>
              <w:jc w:val="right"/>
            </w:pPr>
            <w:r>
              <w:t xml:space="preserve">2.572781</w:t>
            </w:r>
          </w:p>
        </w:tc>
        <w:tc>
          <w:p>
            <w:pPr>
              <w:pStyle w:val="Compact"/>
              <w:jc w:val="right"/>
            </w:pPr>
            <w:r>
              <w:t xml:space="preserve">2.572781</w:t>
            </w:r>
          </w:p>
        </w:tc>
        <w:tc>
          <w:p>
            <w:pPr>
              <w:pStyle w:val="Compact"/>
              <w:jc w:val="right"/>
            </w:pPr>
            <w:r>
              <w:t xml:space="preserve">2.5727807</w:t>
            </w:r>
          </w:p>
        </w:tc>
        <w:tc>
          <w:p>
            <w:pPr>
              <w:pStyle w:val="Compact"/>
              <w:jc w:val="right"/>
            </w:pPr>
            <w:r>
              <w:t xml:space="preserve">2.5727807</w:t>
            </w:r>
          </w:p>
        </w:tc>
      </w:tr>
      <w:tr>
        <w:tc>
          <w:p>
            <w:pPr>
              <w:pStyle w:val="Compact"/>
              <w:jc w:val="left"/>
            </w:pPr>
            <w:r>
              <w:t xml:space="preserve">2007</w:t>
            </w:r>
          </w:p>
        </w:tc>
        <w:tc>
          <w:p>
            <w:pPr>
              <w:pStyle w:val="Compact"/>
              <w:jc w:val="right"/>
            </w:pPr>
            <w:r>
              <w:t xml:space="preserve">1.167639</w:t>
            </w:r>
          </w:p>
        </w:tc>
        <w:tc>
          <w:p>
            <w:pPr>
              <w:pStyle w:val="Compact"/>
              <w:jc w:val="right"/>
            </w:pPr>
            <w:r>
              <w:t xml:space="preserve">1.167639</w:t>
            </w:r>
          </w:p>
        </w:tc>
        <w:tc>
          <w:p>
            <w:pPr>
              <w:pStyle w:val="Compact"/>
              <w:jc w:val="right"/>
            </w:pPr>
            <w:r>
              <w:t xml:space="preserve">1.1676386</w:t>
            </w:r>
          </w:p>
        </w:tc>
        <w:tc>
          <w:p>
            <w:pPr>
              <w:pStyle w:val="Compact"/>
              <w:jc w:val="right"/>
            </w:pPr>
            <w:r>
              <w:t xml:space="preserve">1.1676386</w:t>
            </w:r>
          </w:p>
        </w:tc>
      </w:tr>
      <w:tr>
        <w:tc>
          <w:p>
            <w:pPr>
              <w:pStyle w:val="Compact"/>
              <w:jc w:val="left"/>
            </w:pPr>
            <w:r>
              <w:t xml:space="preserve">2008</w:t>
            </w:r>
          </w:p>
        </w:tc>
        <w:tc>
          <w:p>
            <w:pPr>
              <w:pStyle w:val="Compact"/>
              <w:jc w:val="right"/>
            </w:pPr>
            <w:r>
              <w:t xml:space="preserve">2.555111</w:t>
            </w:r>
          </w:p>
        </w:tc>
        <w:tc>
          <w:p>
            <w:pPr>
              <w:pStyle w:val="Compact"/>
              <w:jc w:val="right"/>
            </w:pPr>
            <w:r>
              <w:t xml:space="preserve">2.323473</w:t>
            </w:r>
          </w:p>
        </w:tc>
        <w:tc>
          <w:p>
            <w:pPr>
              <w:pStyle w:val="Compact"/>
              <w:jc w:val="right"/>
            </w:pPr>
            <w:r>
              <w:t xml:space="preserve">2.5551107</w:t>
            </w:r>
          </w:p>
        </w:tc>
        <w:tc>
          <w:p>
            <w:pPr>
              <w:pStyle w:val="Compact"/>
              <w:jc w:val="right"/>
            </w:pPr>
            <w:r>
              <w:t xml:space="preserve">2.3234731</w:t>
            </w:r>
          </w:p>
        </w:tc>
      </w:tr>
      <w:tr>
        <w:tc>
          <w:p>
            <w:pPr>
              <w:pStyle w:val="Compact"/>
              <w:jc w:val="left"/>
            </w:pPr>
            <w:r>
              <w:t xml:space="preserve">2009</w:t>
            </w:r>
          </w:p>
        </w:tc>
        <w:tc>
          <w:p>
            <w:pPr>
              <w:pStyle w:val="Compact"/>
              <w:jc w:val="right"/>
            </w:pPr>
            <w:r>
              <w:t xml:space="preserve">2.094192</w:t>
            </w:r>
          </w:p>
        </w:tc>
        <w:tc>
          <w:p>
            <w:pPr>
              <w:pStyle w:val="Compact"/>
              <w:jc w:val="right"/>
            </w:pPr>
            <w:r>
              <w:t xml:space="preserve">2.094192</w:t>
            </w:r>
          </w:p>
        </w:tc>
        <w:tc>
          <w:p>
            <w:pPr>
              <w:pStyle w:val="Compact"/>
              <w:jc w:val="right"/>
            </w:pPr>
            <w:r>
              <w:t xml:space="preserve">2.2053878</w:t>
            </w:r>
          </w:p>
        </w:tc>
        <w:tc>
          <w:p>
            <w:pPr>
              <w:pStyle w:val="Compact"/>
              <w:jc w:val="right"/>
            </w:pPr>
            <w:r>
              <w:t xml:space="preserve">2.3330031</w:t>
            </w:r>
          </w:p>
        </w:tc>
      </w:tr>
      <w:tr>
        <w:tc>
          <w:p>
            <w:pPr>
              <w:pStyle w:val="Compact"/>
              <w:jc w:val="left"/>
            </w:pPr>
            <w:r>
              <w:t xml:space="preserve">2010</w:t>
            </w:r>
          </w:p>
        </w:tc>
        <w:tc>
          <w:p>
            <w:pPr>
              <w:pStyle w:val="Compact"/>
              <w:jc w:val="right"/>
            </w:pPr>
            <w:r>
              <w:t xml:space="preserve">3.687782</w:t>
            </w:r>
          </w:p>
        </w:tc>
        <w:tc>
          <w:p>
            <w:pPr>
              <w:pStyle w:val="Compact"/>
              <w:jc w:val="right"/>
            </w:pPr>
            <w:r>
              <w:t xml:space="preserve">3.687782</w:t>
            </w:r>
          </w:p>
        </w:tc>
        <w:tc>
          <w:p>
            <w:pPr>
              <w:pStyle w:val="Compact"/>
              <w:jc w:val="right"/>
            </w:pPr>
            <w:r>
              <w:t xml:space="preserve">3.8835930</w:t>
            </w:r>
          </w:p>
        </w:tc>
        <w:tc>
          <w:p>
            <w:pPr>
              <w:pStyle w:val="Compact"/>
              <w:jc w:val="right"/>
            </w:pPr>
            <w:r>
              <w:t xml:space="preserve">4.1083181</w:t>
            </w:r>
          </w:p>
        </w:tc>
      </w:tr>
      <w:tr>
        <w:tc>
          <w:p>
            <w:pPr>
              <w:pStyle w:val="Compact"/>
              <w:jc w:val="left"/>
            </w:pPr>
            <w:r>
              <w:t xml:space="preserve">2011</w:t>
            </w:r>
          </w:p>
        </w:tc>
        <w:tc>
          <w:p>
            <w:pPr>
              <w:pStyle w:val="Compact"/>
              <w:jc w:val="right"/>
            </w:pPr>
            <w:r>
              <w:t xml:space="preserve">1.305918</w:t>
            </w:r>
          </w:p>
        </w:tc>
        <w:tc>
          <w:p>
            <w:pPr>
              <w:pStyle w:val="Compact"/>
              <w:jc w:val="right"/>
            </w:pPr>
            <w:r>
              <w:t xml:space="preserve">1.305918</w:t>
            </w:r>
          </w:p>
        </w:tc>
        <w:tc>
          <w:p>
            <w:pPr>
              <w:pStyle w:val="Compact"/>
              <w:jc w:val="right"/>
            </w:pPr>
            <w:r>
              <w:t xml:space="preserve">1.3752584</w:t>
            </w:r>
          </w:p>
        </w:tc>
        <w:tc>
          <w:p>
            <w:pPr>
              <w:pStyle w:val="Compact"/>
              <w:jc w:val="right"/>
            </w:pPr>
            <w:r>
              <w:t xml:space="preserve">1.4548381</w:t>
            </w:r>
          </w:p>
        </w:tc>
      </w:tr>
      <w:tr>
        <w:tc>
          <w:p>
            <w:pPr>
              <w:pStyle w:val="Compact"/>
              <w:jc w:val="left"/>
            </w:pPr>
            <w:r>
              <w:t xml:space="preserve">2012</w:t>
            </w:r>
          </w:p>
        </w:tc>
        <w:tc>
          <w:p>
            <w:pPr>
              <w:pStyle w:val="Compact"/>
              <w:jc w:val="right"/>
            </w:pPr>
            <w:r>
              <w:t xml:space="preserve">3.161036</w:t>
            </w:r>
          </w:p>
        </w:tc>
        <w:tc>
          <w:p>
            <w:pPr>
              <w:pStyle w:val="Compact"/>
              <w:jc w:val="right"/>
            </w:pPr>
            <w:r>
              <w:t xml:space="preserve">3.161036</w:t>
            </w:r>
          </w:p>
        </w:tc>
        <w:tc>
          <w:p>
            <w:pPr>
              <w:pStyle w:val="Compact"/>
              <w:jc w:val="right"/>
            </w:pPr>
            <w:r>
              <w:t xml:space="preserve">3.3288788</w:t>
            </w:r>
          </w:p>
        </w:tc>
        <w:tc>
          <w:p>
            <w:pPr>
              <w:pStyle w:val="Compact"/>
              <w:jc w:val="right"/>
            </w:pPr>
            <w:r>
              <w:t xml:space="preserve">3.5215052</w:t>
            </w:r>
          </w:p>
        </w:tc>
      </w:tr>
      <w:tr>
        <w:tc>
          <w:p>
            <w:pPr>
              <w:pStyle w:val="Compact"/>
              <w:jc w:val="left"/>
            </w:pPr>
            <w:r>
              <w:t xml:space="preserve">2013</w:t>
            </w:r>
          </w:p>
        </w:tc>
        <w:tc>
          <w:p>
            <w:pPr>
              <w:pStyle w:val="Compact"/>
              <w:jc w:val="right"/>
            </w:pPr>
            <w:r>
              <w:t xml:space="preserve">1.923429</w:t>
            </w:r>
          </w:p>
        </w:tc>
        <w:tc>
          <w:p>
            <w:pPr>
              <w:pStyle w:val="Compact"/>
              <w:jc w:val="right"/>
            </w:pPr>
            <w:r>
              <w:t xml:space="preserve">1.923429</w:t>
            </w:r>
          </w:p>
        </w:tc>
        <w:tc>
          <w:p>
            <w:pPr>
              <w:pStyle w:val="Compact"/>
              <w:jc w:val="right"/>
            </w:pPr>
            <w:r>
              <w:t xml:space="preserve">2.0255583</w:t>
            </w:r>
          </w:p>
        </w:tc>
        <w:tc>
          <w:p>
            <w:pPr>
              <w:pStyle w:val="Compact"/>
              <w:jc w:val="right"/>
            </w:pPr>
            <w:r>
              <w:t xml:space="preserve">2.1427677</w:t>
            </w:r>
          </w:p>
        </w:tc>
      </w:tr>
      <w:tr>
        <w:tc>
          <w:p>
            <w:pPr>
              <w:pStyle w:val="Compact"/>
              <w:jc w:val="left"/>
            </w:pPr>
            <w:r>
              <w:t xml:space="preserve">2014</w:t>
            </w:r>
          </w:p>
        </w:tc>
        <w:tc>
          <w:p>
            <w:pPr>
              <w:pStyle w:val="Compact"/>
              <w:jc w:val="right"/>
            </w:pPr>
            <w:r>
              <w:t xml:space="preserve">3.426619</w:t>
            </w:r>
          </w:p>
        </w:tc>
        <w:tc>
          <w:p>
            <w:pPr>
              <w:pStyle w:val="Compact"/>
              <w:jc w:val="right"/>
            </w:pPr>
            <w:r>
              <w:t xml:space="preserve">3.426619</w:t>
            </w:r>
          </w:p>
        </w:tc>
        <w:tc>
          <w:p>
            <w:pPr>
              <w:pStyle w:val="Compact"/>
              <w:jc w:val="right"/>
            </w:pPr>
            <w:r>
              <w:t xml:space="preserve">3.6085629</w:t>
            </w:r>
          </w:p>
        </w:tc>
        <w:tc>
          <w:p>
            <w:pPr>
              <w:pStyle w:val="Compact"/>
              <w:jc w:val="right"/>
            </w:pPr>
            <w:r>
              <w:t xml:space="preserve">3.8173733</w:t>
            </w:r>
          </w:p>
        </w:tc>
      </w:tr>
      <w:tr>
        <w:tc>
          <w:p>
            <w:pPr>
              <w:pStyle w:val="Compact"/>
              <w:jc w:val="left"/>
            </w:pPr>
            <w:r>
              <w:t xml:space="preserve">2015</w:t>
            </w:r>
          </w:p>
        </w:tc>
        <w:tc>
          <w:p>
            <w:pPr>
              <w:pStyle w:val="Compact"/>
              <w:jc w:val="right"/>
            </w:pPr>
            <w:r>
              <w:t xml:space="preserve">2.201588</w:t>
            </w:r>
          </w:p>
        </w:tc>
        <w:tc>
          <w:p>
            <w:pPr>
              <w:pStyle w:val="Compact"/>
              <w:jc w:val="right"/>
            </w:pPr>
            <w:r>
              <w:t xml:space="preserve">2.201588</w:t>
            </w:r>
          </w:p>
        </w:tc>
        <w:tc>
          <w:p>
            <w:pPr>
              <w:pStyle w:val="Compact"/>
              <w:jc w:val="right"/>
            </w:pPr>
            <w:r>
              <w:t xml:space="preserve">2.3184867</w:t>
            </w:r>
          </w:p>
        </w:tc>
        <w:tc>
          <w:p>
            <w:pPr>
              <w:pStyle w:val="Compact"/>
              <w:jc w:val="right"/>
            </w:pPr>
            <w:r>
              <w:t xml:space="preserve">2.4526465</w:t>
            </w:r>
          </w:p>
        </w:tc>
      </w:tr>
      <w:tr>
        <w:tc>
          <w:p>
            <w:pPr>
              <w:pStyle w:val="Compact"/>
              <w:jc w:val="left"/>
            </w:pPr>
            <w:r>
              <w:t xml:space="preserve">2016</w:t>
            </w:r>
          </w:p>
        </w:tc>
        <w:tc>
          <w:p>
            <w:pPr>
              <w:pStyle w:val="Compact"/>
              <w:jc w:val="right"/>
            </w:pPr>
            <w:r>
              <w:t xml:space="preserve">3.905705</w:t>
            </w:r>
          </w:p>
        </w:tc>
        <w:tc>
          <w:p>
            <w:pPr>
              <w:pStyle w:val="Compact"/>
              <w:jc w:val="right"/>
            </w:pPr>
            <w:r>
              <w:t xml:space="preserve">3.905705</w:t>
            </w:r>
          </w:p>
        </w:tc>
        <w:tc>
          <w:p>
            <w:pPr>
              <w:pStyle w:val="Compact"/>
              <w:jc w:val="right"/>
            </w:pPr>
            <w:r>
              <w:t xml:space="preserve">4.1130877</w:t>
            </w:r>
          </w:p>
        </w:tc>
        <w:tc>
          <w:p>
            <w:pPr>
              <w:pStyle w:val="Compact"/>
              <w:jc w:val="right"/>
            </w:pPr>
            <w:r>
              <w:t xml:space="preserve">4.3510925</w:t>
            </w:r>
          </w:p>
        </w:tc>
      </w:tr>
      <w:tr>
        <w:tc>
          <w:p>
            <w:pPr>
              <w:pStyle w:val="Compact"/>
              <w:jc w:val="left"/>
            </w:pPr>
            <w:r>
              <w:t xml:space="preserve">2017</w:t>
            </w:r>
          </w:p>
        </w:tc>
        <w:tc>
          <w:p>
            <w:pPr>
              <w:pStyle w:val="Compact"/>
              <w:jc w:val="right"/>
            </w:pPr>
            <w:r>
              <w:t xml:space="preserve">0.310436</w:t>
            </w:r>
          </w:p>
        </w:tc>
        <w:tc>
          <w:p>
            <w:pPr>
              <w:pStyle w:val="Compact"/>
              <w:jc w:val="right"/>
            </w:pPr>
            <w:r>
              <w:t xml:space="preserve">0.310436</w:t>
            </w:r>
          </w:p>
        </w:tc>
        <w:tc>
          <w:p>
            <w:pPr>
              <w:pStyle w:val="Compact"/>
              <w:jc w:val="right"/>
            </w:pPr>
            <w:r>
              <w:t xml:space="preserve">0.3269194</w:t>
            </w:r>
          </w:p>
        </w:tc>
        <w:tc>
          <w:p>
            <w:pPr>
              <w:pStyle w:val="Compact"/>
              <w:jc w:val="right"/>
            </w:pPr>
            <w:r>
              <w:t xml:space="preserve">0.3458366</w:t>
            </w:r>
          </w:p>
        </w:tc>
      </w:tr>
      <w:tr>
        <w:tc>
          <w:p>
            <w:pPr>
              <w:pStyle w:val="Compact"/>
              <w:jc w:val="left"/>
            </w:pPr>
            <w:r>
              <w:t xml:space="preserve">2018</w:t>
            </w:r>
          </w:p>
        </w:tc>
        <w:tc>
          <w:p>
            <w:pPr>
              <w:pStyle w:val="Compact"/>
              <w:jc w:val="right"/>
            </w:pPr>
            <w:r>
              <w:t xml:space="preserve">1.233765</w:t>
            </w:r>
          </w:p>
        </w:tc>
        <w:tc>
          <w:p>
            <w:pPr>
              <w:pStyle w:val="Compact"/>
              <w:jc w:val="right"/>
            </w:pPr>
            <w:r>
              <w:t xml:space="preserve">1.171558</w:t>
            </w:r>
          </w:p>
        </w:tc>
        <w:tc>
          <w:p>
            <w:pPr>
              <w:pStyle w:val="Compact"/>
              <w:jc w:val="right"/>
            </w:pPr>
            <w:r>
              <w:t xml:space="preserve">1.2337651</w:t>
            </w:r>
          </w:p>
        </w:tc>
        <w:tc>
          <w:p>
            <w:pPr>
              <w:pStyle w:val="Compact"/>
              <w:jc w:val="right"/>
            </w:pPr>
            <w:r>
              <w:t xml:space="preserve">1.1715584</w:t>
            </w:r>
          </w:p>
        </w:tc>
      </w:tr>
      <w:tr>
        <w:tc>
          <w:p>
            <w:pPr>
              <w:pStyle w:val="Compact"/>
              <w:jc w:val="left"/>
            </w:pPr>
            <w:r>
              <w:t xml:space="preserve">2019</w:t>
            </w:r>
          </w:p>
        </w:tc>
        <w:tc>
          <w:p>
            <w:pPr>
              <w:pStyle w:val="Compact"/>
              <w:jc w:val="right"/>
            </w:pPr>
            <w:r>
              <w:t xml:space="preserve">1.202606</w:t>
            </w:r>
          </w:p>
        </w:tc>
        <w:tc>
          <w:p>
            <w:pPr>
              <w:pStyle w:val="Compact"/>
              <w:jc w:val="right"/>
            </w:pPr>
            <w:r>
              <w:t xml:space="preserve">1.141971</w:t>
            </w:r>
          </w:p>
        </w:tc>
        <w:tc>
          <w:p>
            <w:pPr>
              <w:pStyle w:val="Compact"/>
              <w:jc w:val="right"/>
            </w:pPr>
            <w:r>
              <w:t xml:space="preserve">1.2026065</w:t>
            </w:r>
          </w:p>
        </w:tc>
        <w:tc>
          <w:p>
            <w:pPr>
              <w:pStyle w:val="Compact"/>
              <w:jc w:val="right"/>
            </w:pPr>
            <w:r>
              <w:t xml:space="preserve">1.1419709</w:t>
            </w:r>
          </w:p>
        </w:tc>
      </w:tr>
      <w:tr>
        <w:tc>
          <w:p>
            <w:pPr>
              <w:pStyle w:val="Compact"/>
              <w:jc w:val="left"/>
            </w:pPr>
            <w:r>
              <w:t xml:space="preserve">2020</w:t>
            </w:r>
          </w:p>
        </w:tc>
        <w:tc>
          <w:p>
            <w:pPr>
              <w:pStyle w:val="Compact"/>
              <w:jc w:val="right"/>
            </w:pPr>
            <w:r>
              <w:t xml:space="preserve">2.261529</w:t>
            </w:r>
          </w:p>
        </w:tc>
        <w:tc>
          <w:p>
            <w:pPr>
              <w:pStyle w:val="Compact"/>
              <w:jc w:val="right"/>
            </w:pPr>
            <w:r>
              <w:t xml:space="preserve">2.147502</w:t>
            </w:r>
          </w:p>
        </w:tc>
        <w:tc>
          <w:p>
            <w:pPr>
              <w:pStyle w:val="Compact"/>
              <w:jc w:val="right"/>
            </w:pPr>
            <w:r>
              <w:t xml:space="preserve">2.2615289</w:t>
            </w:r>
          </w:p>
        </w:tc>
        <w:tc>
          <w:p>
            <w:pPr>
              <w:pStyle w:val="Compact"/>
              <w:jc w:val="right"/>
            </w:pPr>
            <w:r>
              <w:t xml:space="preserve">2.1475023</w:t>
            </w:r>
          </w:p>
        </w:tc>
      </w:tr>
      <w:tr>
        <w:tc>
          <w:p>
            <w:pPr>
              <w:pStyle w:val="Compact"/>
              <w:jc w:val="left"/>
            </w:pPr>
            <w:r>
              <w:t xml:space="preserve">average</w:t>
            </w:r>
          </w:p>
        </w:tc>
        <w:tc>
          <w:p>
            <w:pPr>
              <w:pStyle w:val="Compact"/>
              <w:jc w:val="right"/>
            </w:pPr>
            <w:r>
              <w:t xml:space="preserve">2.546210</w:t>
            </w:r>
          </w:p>
        </w:tc>
        <w:tc>
          <w:p>
            <w:pPr>
              <w:pStyle w:val="Compact"/>
              <w:jc w:val="right"/>
            </w:pPr>
            <w:r>
              <w:t xml:space="preserve">2.526689</w:t>
            </w:r>
          </w:p>
        </w:tc>
        <w:tc>
          <w:p>
            <w:pPr>
              <w:pStyle w:val="Compact"/>
              <w:jc w:val="right"/>
            </w:pPr>
            <w:r>
              <w:t xml:space="preserve">2.5949191</w:t>
            </w:r>
          </w:p>
        </w:tc>
        <w:tc>
          <w:p>
            <w:pPr>
              <w:pStyle w:val="Compact"/>
              <w:jc w:val="right"/>
            </w:pPr>
            <w:r>
              <w:t xml:space="preserve">2.6313000</w:t>
            </w:r>
          </w:p>
        </w:tc>
      </w:tr>
    </w:tbl>
    <w:p>
      <w:pPr>
        <w:pStyle w:val="Heading1"/>
      </w:pPr>
      <w:bookmarkStart w:id="29" w:name="vessel-calibration-coefficents"/>
      <w:bookmarkEnd w:id="29"/>
      <w:r>
        <w:t xml:space="preserve">Vessel Calibration Coefficents</w:t>
      </w:r>
    </w:p>
    <w:p>
      <w:pPr>
        <w:pStyle w:val="FirstParagraph"/>
      </w:pPr>
      <w:r>
        <w:t xml:space="preserve">The four types of vessel calibration coefficients are defined as:</w:t>
      </w:r>
    </w:p>
    <w:p>
      <w:pPr>
        <w:numPr>
          <w:numId w:val="1001"/>
          <w:ilvl w:val="0"/>
        </w:numPr>
      </w:pPr>
      <w:r>
        <w:t xml:space="preserve">pink_cal_mixspecies is a mixture of species-specific (</w:t>
      </w:r>
      <w:r>
        <w:rPr>
          <w:i/>
        </w:rPr>
        <w:t xml:space="preserve">Chellisa:Medeia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w:t>
      </w:r>
      <w:r>
        <w:t xml:space="preserve">(i.e., 1/(1.19 x 1.27) where 1.19 is the pooled-species fishing power coefficient from the</w:t>
      </w:r>
      <w:r>
        <w:t xml:space="preserve"> </w:t>
      </w:r>
      <w:r>
        <w:rPr>
          <w:i/>
        </w:rPr>
        <w:t xml:space="preserve">Medeia:Cobb</w:t>
      </w:r>
      <w:r>
        <w:t xml:space="preserve"> </w:t>
      </w:r>
      <w:r>
        <w:t xml:space="preserve">and 1.27 is the species-specific fishing power coefficient from the</w:t>
      </w:r>
      <w:r>
        <w:t xml:space="preserve"> </w:t>
      </w:r>
      <w:r>
        <w:rPr>
          <w:i/>
        </w:rPr>
        <w:t xml:space="preserve">Chellisa:Medeia</w:t>
      </w:r>
      <w:r>
        <w:t xml:space="preserve">; see Table 3), and species-specific coefficients for the</w:t>
      </w:r>
      <w:r>
        <w:t xml:space="preserve"> </w:t>
      </w:r>
      <w:r>
        <w:rPr>
          <w:i/>
        </w:rPr>
        <w:t xml:space="preserve">Steller</w:t>
      </w:r>
      <w:r>
        <w:t xml:space="preserve"> </w:t>
      </w:r>
      <w:r>
        <w:t xml:space="preserve">and the</w:t>
      </w:r>
      <w:r>
        <w:t xml:space="preserve"> </w:t>
      </w:r>
      <w:r>
        <w:rPr>
          <w:i/>
        </w:rPr>
        <w:t xml:space="preserve">Medeia</w:t>
      </w:r>
      <w:r>
        <w:t xml:space="preserve">. This ends up with a time series that is based on coefficients that vary with species, but are partially derived from a mixture of species-specific and pooled-species coefficients.</w:t>
      </w:r>
    </w:p>
    <w:p>
      <w:pPr>
        <w:numPr>
          <w:numId w:val="1001"/>
          <w:ilvl w:val="0"/>
        </w:numPr>
      </w:pPr>
      <w:r>
        <w:t xml:space="preserve">pink_cal_mixpool is a mixture of species-specific (</w:t>
      </w:r>
      <w:r>
        <w:rPr>
          <w:i/>
        </w:rPr>
        <w:t xml:space="preserve">Chellissa:Medeia</w:t>
      </w:r>
      <w:r>
        <w:t xml:space="preserve">) and pooled-species (</w:t>
      </w:r>
      <w:r>
        <w:rPr>
          <w:i/>
        </w:rPr>
        <w:t xml:space="preserve">Medeia:Cobb</w:t>
      </w:r>
      <w:r>
        <w:t xml:space="preserve">) coefficients for the</w:t>
      </w:r>
      <w:r>
        <w:t xml:space="preserve"> </w:t>
      </w:r>
      <w:r>
        <w:rPr>
          <w:i/>
        </w:rPr>
        <w:t xml:space="preserve">Chellissa</w:t>
      </w:r>
      <w:r>
        <w:t xml:space="preserve"> </w:t>
      </w:r>
      <w:r>
        <w:t xml:space="preserve">and the</w:t>
      </w:r>
      <w:r>
        <w:t xml:space="preserve"> </w:t>
      </w:r>
      <w:r>
        <w:rPr>
          <w:i/>
        </w:rPr>
        <w:t xml:space="preserve">N/W Explorer</w:t>
      </w:r>
      <w:r>
        <w:t xml:space="preserve"> </w:t>
      </w:r>
      <w:r>
        <w:t xml:space="preserve">(i.e., 1/(1.19 x 1.27)), and pooled-species coefficients for the</w:t>
      </w:r>
      <w:r>
        <w:t xml:space="preserve"> </w:t>
      </w:r>
      <w:r>
        <w:rPr>
          <w:i/>
        </w:rPr>
        <w:t xml:space="preserve">Steller</w:t>
      </w:r>
      <w:r>
        <w:t xml:space="preserve"> </w:t>
      </w:r>
      <w:r>
        <w:t xml:space="preserve">and the</w:t>
      </w:r>
      <w:r>
        <w:t xml:space="preserve"> </w:t>
      </w:r>
      <w:r>
        <w:rPr>
          <w:i/>
        </w:rPr>
        <w:t xml:space="preserve">Medeia</w:t>
      </w:r>
      <w:r>
        <w:t xml:space="preserve">.</w:t>
      </w:r>
    </w:p>
    <w:p>
      <w:pPr>
        <w:numPr>
          <w:numId w:val="1001"/>
          <w:ilvl w:val="0"/>
        </w:numPr>
      </w:pPr>
      <w:r>
        <w:t xml:space="preserve">pink_cal_species uses species-specific coefficients for the</w:t>
      </w:r>
      <w:r>
        <w:t xml:space="preserve"> </w:t>
      </w:r>
      <w:r>
        <w:rPr>
          <w:i/>
        </w:rPr>
        <w:t xml:space="preserve">Chellisa</w:t>
      </w:r>
      <w:r>
        <w:t xml:space="preserve">,</w:t>
      </w:r>
      <w:r>
        <w:t xml:space="preserve"> </w:t>
      </w:r>
      <w:r>
        <w:rPr>
          <w:i/>
        </w:rPr>
        <w:t xml:space="preserve">Steller</w:t>
      </w:r>
      <w:r>
        <w:t xml:space="preserve">, and</w:t>
      </w:r>
      <w:r>
        <w:t xml:space="preserve"> </w:t>
      </w:r>
      <w:r>
        <w:rPr>
          <w:i/>
        </w:rPr>
        <w:t xml:space="preserve">Medeia</w:t>
      </w:r>
      <w:r>
        <w:t xml:space="preserve">, and the</w:t>
      </w:r>
      <w:r>
        <w:t xml:space="preserve"> </w:t>
      </w:r>
      <w:r>
        <w:rPr>
          <w:i/>
        </w:rPr>
        <w:t xml:space="preserve">N/W Explorer</w:t>
      </w:r>
      <w:r>
        <w:t xml:space="preserve"> </w:t>
      </w:r>
      <w:r>
        <w:t xml:space="preserve">uses a species-specific coefficient from the</w:t>
      </w:r>
      <w:r>
        <w:t xml:space="preserve"> </w:t>
      </w:r>
      <w:r>
        <w:rPr>
          <w:i/>
        </w:rPr>
        <w:t xml:space="preserve">Chellisa</w:t>
      </w:r>
      <w:r>
        <w:t xml:space="preserve">.</w:t>
      </w:r>
    </w:p>
    <w:p>
      <w:pPr>
        <w:numPr>
          <w:numId w:val="1001"/>
          <w:ilvl w:val="0"/>
        </w:numPr>
      </w:pPr>
      <w:r>
        <w:t xml:space="preserve">pink_cal_pool uses pooled-species coefficients for the</w:t>
      </w:r>
      <w:r>
        <w:t xml:space="preserve"> </w:t>
      </w:r>
      <w:r>
        <w:rPr>
          <w:i/>
        </w:rPr>
        <w:t xml:space="preserve">Chellisa</w:t>
      </w:r>
      <w:r>
        <w:t xml:space="preserve">,</w:t>
      </w:r>
      <w:r>
        <w:t xml:space="preserve"> </w:t>
      </w:r>
      <w:r>
        <w:rPr>
          <w:i/>
        </w:rPr>
        <w:t xml:space="preserve">Steller</w:t>
      </w:r>
      <w:r>
        <w:t xml:space="preserve">, and</w:t>
      </w:r>
      <w:r>
        <w:t xml:space="preserve"> </w:t>
      </w:r>
      <w:r>
        <w:rPr>
          <w:i/>
        </w:rPr>
        <w:t xml:space="preserve">Medeia</w:t>
      </w:r>
      <w:r>
        <w:t xml:space="preserve">, and the</w:t>
      </w:r>
      <w:r>
        <w:t xml:space="preserve"> </w:t>
      </w:r>
      <w:r>
        <w:rPr>
          <w:i/>
        </w:rPr>
        <w:t xml:space="preserve">N/W Explorer</w:t>
      </w:r>
      <w:r>
        <w:t xml:space="preserve"> </w:t>
      </w:r>
      <w:r>
        <w:t xml:space="preserve">uses a pooled-species coefficient from the</w:t>
      </w:r>
      <w:r>
        <w:t xml:space="preserve"> </w:t>
      </w:r>
      <w:r>
        <w:rPr>
          <w:i/>
        </w:rPr>
        <w:t xml:space="preserve">Chellisa</w:t>
      </w:r>
      <w:r>
        <w:t xml:space="preserve">.</w:t>
      </w:r>
    </w:p>
    <w:p>
      <w:pPr>
        <w:pStyle w:val="FirstParagraph"/>
      </w:pPr>
      <w:r>
        <w:t xml:space="preserve">The term species-specific refers to a pink salmon specific vessel calibration coefficent, and the term pooled-species refers to a pink, chum, sockeye, and coho vessel calibration coefficeint.</w:t>
      </w:r>
    </w:p>
    <w:p>
      <w:pPr>
        <w:pStyle w:val="BodyText"/>
      </w:pPr>
      <w:r>
        <w:t xml:space="preserve">The four vessel calibration coefficients (Table 1) are calculated as the inverse of the fishing power coefficients (Table 3).</w:t>
      </w:r>
    </w:p>
    <w:p>
      <w:pPr>
        <w:pStyle w:val="TableCaption"/>
      </w:pPr>
      <w:r>
        <w:t xml:space="preserve">Estimated fishing power coefficients for juvenile salmon catches by the different vessels used during the Southeast Alaska Coastal Monitoring survey (Wertheimer et al. 2008, 2009, and 2010). One of the primary trawl vessels, F/V</w:t>
      </w:r>
      <w:r>
        <w:t xml:space="preserve"> </w:t>
      </w:r>
      <w:r>
        <w:rPr>
          <w:i/>
        </w:rPr>
        <w:t xml:space="preserve">Northwest Explorer</w:t>
      </w:r>
      <w:r>
        <w:t xml:space="preserve">, has not been calibrated and it is assumed to have the same fishing power as the</w:t>
      </w:r>
      <w:r>
        <w:t xml:space="preserve"> </w:t>
      </w:r>
      <w:r>
        <w:rPr>
          <w:i/>
        </w:rPr>
        <w:t xml:space="preserve">Chellissa</w:t>
      </w:r>
      <w:r>
        <w:t xml:space="preserve">.</w:t>
      </w:r>
    </w:p>
    <w:tbl>
      <w:tblPr>
        <w:tblStyle w:val="TableNormal"/>
        <w:tblW w:type="pct" w:w="0.0"/>
        <w:tblLook w:firstRow="1"/>
        <w:tblCaption w:val="Estimated fishing power coefficients for juvenile salmon catches by the different vessels used during the Southeast Alaska Coastal Monitoring survey (Wertheimer et al. 2008, 2009, and 2010). One of the primary trawl vessels, F/V Northwest Explorer, has not been calibrated and it is assumed to have the same fishing power as the Chelliss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Medeia:Cobb</w:t>
            </w:r>
          </w:p>
        </w:tc>
        <w:tc>
          <w:tcPr>
            <w:tcBorders>
              <w:bottom w:val="single"/>
            </w:tcBorders>
            <w:vAlign w:val="bottom"/>
          </w:tcPr>
          <w:p>
            <w:pPr>
              <w:pStyle w:val="Compact"/>
              <w:jc w:val="right"/>
            </w:pPr>
            <w:r>
              <w:t xml:space="preserve">Chellissa:Cobb</w:t>
            </w:r>
          </w:p>
        </w:tc>
        <w:tc>
          <w:tcPr>
            <w:tcBorders>
              <w:bottom w:val="single"/>
            </w:tcBorders>
            <w:vAlign w:val="bottom"/>
          </w:tcPr>
          <w:p>
            <w:pPr>
              <w:pStyle w:val="Compact"/>
              <w:jc w:val="right"/>
            </w:pPr>
            <w:r>
              <w:t xml:space="preserve">Steller:Cobb</w:t>
            </w:r>
          </w:p>
        </w:tc>
        <w:tc>
          <w:tcPr>
            <w:tcBorders>
              <w:bottom w:val="single"/>
            </w:tcBorders>
            <w:vAlign w:val="bottom"/>
          </w:tcPr>
          <w:p>
            <w:pPr>
              <w:pStyle w:val="Compact"/>
              <w:jc w:val="right"/>
            </w:pPr>
            <w:r>
              <w:t xml:space="preserve">Medeia:Steller</w:t>
            </w:r>
          </w:p>
        </w:tc>
        <w:tc>
          <w:tcPr>
            <w:tcBorders>
              <w:bottom w:val="single"/>
            </w:tcBorders>
            <w:vAlign w:val="bottom"/>
          </w:tcPr>
          <w:p>
            <w:pPr>
              <w:pStyle w:val="Compact"/>
              <w:jc w:val="right"/>
            </w:pPr>
            <w:r>
              <w:t xml:space="preserve">Chellissa:Medeia</w:t>
            </w:r>
          </w:p>
        </w:tc>
        <w:tc>
          <w:tcPr>
            <w:tcBorders>
              <w:bottom w:val="single"/>
            </w:tcBorders>
            <w:vAlign w:val="bottom"/>
          </w:tcPr>
          <w:p>
            <w:pPr>
              <w:pStyle w:val="Compact"/>
              <w:jc w:val="right"/>
            </w:pPr>
            <w:r>
              <w:t xml:space="preserve">mixed Chellissa:Cobb</w:t>
            </w:r>
          </w:p>
        </w:tc>
      </w:tr>
      <w:tr>
        <w:tc>
          <w:p>
            <w:pPr>
              <w:pStyle w:val="Compact"/>
              <w:jc w:val="left"/>
            </w:pPr>
            <w:r>
              <w:t xml:space="preserve">Pink</w:t>
            </w:r>
          </w:p>
        </w:tc>
        <w:tc>
          <w:p>
            <w:pPr>
              <w:pStyle w:val="Compact"/>
              <w:jc w:val="right"/>
            </w:pPr>
            <w:r>
              <w:t xml:space="preserve">1.13</w:t>
            </w:r>
          </w:p>
        </w:tc>
        <w:tc>
          <w:p>
            <w:pPr>
              <w:pStyle w:val="Compact"/>
              <w:jc w:val="right"/>
            </w:pPr>
            <w:r>
              <w:t xml:space="preserve">1.44</w:t>
            </w:r>
          </w:p>
        </w:tc>
        <w:tc>
          <w:p>
            <w:pPr>
              <w:pStyle w:val="Compact"/>
              <w:jc w:val="right"/>
            </w:pPr>
            <w:r>
              <w:t xml:space="preserve">0.96</w:t>
            </w:r>
          </w:p>
        </w:tc>
        <w:tc>
          <w:p>
            <w:pPr>
              <w:pStyle w:val="Compact"/>
              <w:jc w:val="right"/>
            </w:pPr>
            <w:r>
              <w:t xml:space="preserve">1.18</w:t>
            </w:r>
          </w:p>
        </w:tc>
        <w:tc>
          <w:p>
            <w:pPr>
              <w:pStyle w:val="Compact"/>
              <w:jc w:val="right"/>
            </w:pPr>
            <w:r>
              <w:t xml:space="preserve">1.27</w:t>
            </w:r>
          </w:p>
        </w:tc>
        <w:tc>
          <w:p>
            <w:pPr>
              <w:pStyle w:val="Compact"/>
              <w:jc w:val="right"/>
            </w:pPr>
            <w:r>
              <w:t xml:space="preserve">1.51</w:t>
            </w:r>
          </w:p>
        </w:tc>
      </w:tr>
      <w:tr>
        <w:tc>
          <w:p>
            <w:pPr>
              <w:pStyle w:val="Compact"/>
              <w:jc w:val="left"/>
            </w:pPr>
            <w:r>
              <w:t xml:space="preserve">Chum</w:t>
            </w:r>
          </w:p>
        </w:tc>
        <w:tc>
          <w:p>
            <w:pPr>
              <w:pStyle w:val="Compact"/>
              <w:jc w:val="right"/>
            </w:pPr>
            <w:r>
              <w:t xml:space="preserve">1.21</w:t>
            </w:r>
          </w:p>
        </w:tc>
        <w:tc>
          <w:p>
            <w:pPr>
              <w:pStyle w:val="Compact"/>
              <w:jc w:val="right"/>
            </w:pPr>
            <w:r>
              <w:t xml:space="preserve">1.44</w:t>
            </w:r>
          </w:p>
        </w:tc>
        <w:tc>
          <w:p>
            <w:pPr>
              <w:pStyle w:val="Compact"/>
              <w:jc w:val="right"/>
            </w:pPr>
            <w:r>
              <w:t xml:space="preserve">1.16</w:t>
            </w:r>
          </w:p>
        </w:tc>
        <w:tc>
          <w:p>
            <w:pPr>
              <w:pStyle w:val="Compact"/>
              <w:jc w:val="right"/>
            </w:pPr>
            <w:r>
              <w:t xml:space="preserve">1.04</w:t>
            </w:r>
          </w:p>
        </w:tc>
        <w:tc>
          <w:p>
            <w:pPr>
              <w:pStyle w:val="Compact"/>
              <w:jc w:val="right"/>
            </w:pPr>
            <w:r>
              <w:t xml:space="preserve">1.19</w:t>
            </w:r>
          </w:p>
        </w:tc>
        <w:tc>
          <w:p>
            <w:pPr>
              <w:pStyle w:val="Compact"/>
              <w:jc w:val="right"/>
            </w:pPr>
            <w:r>
              <w:t xml:space="preserve">1.42</w:t>
            </w:r>
          </w:p>
        </w:tc>
      </w:tr>
      <w:tr>
        <w:tc>
          <w:p>
            <w:pPr>
              <w:pStyle w:val="Compact"/>
              <w:jc w:val="left"/>
            </w:pPr>
            <w:r>
              <w:t xml:space="preserve">Sockeye</w:t>
            </w:r>
          </w:p>
        </w:tc>
        <w:tc>
          <w:p>
            <w:pPr>
              <w:pStyle w:val="Compact"/>
              <w:jc w:val="right"/>
            </w:pPr>
            <w:r>
              <w:t xml:space="preserve">1.19</w:t>
            </w:r>
          </w:p>
        </w:tc>
        <w:tc>
          <w:p>
            <w:pPr>
              <w:pStyle w:val="Compact"/>
              <w:jc w:val="right"/>
            </w:pPr>
            <w:r>
              <w:t xml:space="preserve">1.18</w:t>
            </w:r>
          </w:p>
        </w:tc>
        <w:tc>
          <w:p>
            <w:pPr>
              <w:pStyle w:val="Compact"/>
              <w:jc w:val="right"/>
            </w:pPr>
            <w:r>
              <w:t xml:space="preserve">1.05</w:t>
            </w:r>
          </w:p>
        </w:tc>
        <w:tc>
          <w:p>
            <w:pPr>
              <w:pStyle w:val="Compact"/>
              <w:jc w:val="right"/>
            </w:pPr>
            <w:r>
              <w:t xml:space="preserve">1.13</w:t>
            </w:r>
          </w:p>
        </w:tc>
        <w:tc>
          <w:p>
            <w:pPr>
              <w:pStyle w:val="Compact"/>
              <w:jc w:val="right"/>
            </w:pPr>
            <w:r>
              <w:t xml:space="preserve">0.99</w:t>
            </w:r>
          </w:p>
        </w:tc>
        <w:tc>
          <w:p>
            <w:pPr>
              <w:pStyle w:val="Compact"/>
              <w:jc w:val="right"/>
            </w:pPr>
            <w:r>
              <w:t xml:space="preserve">1.18</w:t>
            </w:r>
          </w:p>
        </w:tc>
      </w:tr>
      <w:tr>
        <w:tc>
          <w:p>
            <w:pPr>
              <w:pStyle w:val="Compact"/>
              <w:jc w:val="left"/>
            </w:pPr>
            <w:r>
              <w:t xml:space="preserve">Coho</w:t>
            </w:r>
          </w:p>
        </w:tc>
        <w:tc>
          <w:p>
            <w:pPr>
              <w:pStyle w:val="Compact"/>
              <w:jc w:val="right"/>
            </w:pPr>
            <w:r>
              <w:t xml:space="preserve">1.26</w:t>
            </w:r>
          </w:p>
        </w:tc>
        <w:tc>
          <w:p>
            <w:pPr>
              <w:pStyle w:val="Compact"/>
              <w:jc w:val="right"/>
            </w:pPr>
            <w:r>
              <w:t xml:space="preserve">1.32</w:t>
            </w:r>
          </w:p>
        </w:tc>
        <w:tc>
          <w:p>
            <w:pPr>
              <w:pStyle w:val="Compact"/>
              <w:jc w:val="right"/>
            </w:pPr>
            <w:r>
              <w:t xml:space="preserve">0.85</w:t>
            </w:r>
          </w:p>
        </w:tc>
        <w:tc>
          <w:p>
            <w:pPr>
              <w:pStyle w:val="Compact"/>
              <w:jc w:val="right"/>
            </w:pPr>
            <w:r>
              <w:t xml:space="preserve">1.48</w:t>
            </w:r>
          </w:p>
        </w:tc>
        <w:tc>
          <w:p>
            <w:pPr>
              <w:pStyle w:val="Compact"/>
              <w:jc w:val="right"/>
            </w:pPr>
            <w:r>
              <w:t xml:space="preserve">1.05</w:t>
            </w:r>
          </w:p>
        </w:tc>
        <w:tc>
          <w:p>
            <w:pPr>
              <w:pStyle w:val="Compact"/>
              <w:jc w:val="right"/>
            </w:pPr>
            <w:r>
              <w:t xml:space="preserve">1.25</w:t>
            </w:r>
          </w:p>
        </w:tc>
      </w:tr>
      <w:tr>
        <w:tc>
          <w:p>
            <w:pPr>
              <w:pStyle w:val="Compact"/>
              <w:jc w:val="left"/>
            </w:pPr>
            <w:r>
              <w:t xml:space="preserve">Total Salmon</w:t>
            </w:r>
          </w:p>
        </w:tc>
        <w:tc>
          <w:p>
            <w:pPr>
              <w:pStyle w:val="Compact"/>
              <w:jc w:val="right"/>
            </w:pPr>
            <w:r>
              <w:t xml:space="preserve">1.19</w:t>
            </w:r>
          </w:p>
        </w:tc>
        <w:tc>
          <w:p>
            <w:pPr>
              <w:pStyle w:val="Compact"/>
              <w:jc w:val="right"/>
            </w:pPr>
            <w:r>
              <w:t xml:space="preserve">1.36</w:t>
            </w:r>
          </w:p>
        </w:tc>
        <w:tc>
          <w:p>
            <w:pPr>
              <w:pStyle w:val="Compact"/>
              <w:jc w:val="right"/>
            </w:pPr>
            <w:r>
              <w:t xml:space="preserve">1.05</w:t>
            </w:r>
          </w:p>
        </w:tc>
        <w:tc>
          <w:p>
            <w:pPr>
              <w:pStyle w:val="Compact"/>
              <w:jc w:val="right"/>
            </w:pPr>
            <w:r>
              <w:t xml:space="preserve">1.13</w:t>
            </w:r>
          </w:p>
        </w:tc>
        <w:tc>
          <w:p>
            <w:pPr>
              <w:pStyle w:val="Compact"/>
              <w:jc w:val="right"/>
            </w:pPr>
            <w:r>
              <w:t xml:space="preserve">1.14</w:t>
            </w:r>
          </w:p>
        </w:tc>
        <w:tc>
          <w:p>
            <w:pPr>
              <w:pStyle w:val="Compact"/>
              <w:jc w:val="right"/>
            </w:pPr>
            <w:r>
              <w:t xml:space="preserve">1.36</w:t>
            </w:r>
          </w:p>
        </w:tc>
      </w:tr>
    </w:tbl>
    <w:p>
      <w:pPr>
        <w:pStyle w:val="BodyText"/>
      </w:pPr>
      <w:r>
        <w:t xml:space="preserve">Table 4 (below) shows how the vessel calibration coefficients (in Table 1) are calculated by taking the inverse of the fishing power coefficents in Table 3.</w:t>
      </w:r>
    </w:p>
    <w:p>
      <w:pPr>
        <w:pStyle w:val="TableCaption"/>
      </w:pPr>
      <w:r>
        <w:t xml:space="preserve">Specific calculations for determing the vessel calibration coefficients from the fishing power coefficients.</w:t>
      </w:r>
    </w:p>
    <w:tbl>
      <w:tblPr>
        <w:tblStyle w:val="TableNormal"/>
        <w:tblW w:type="pct" w:w="0.0"/>
        <w:tblLook w:firstRow="1"/>
        <w:tblCaption w:val="Specific calculations for determing the vessel calibration coefficients from the fishing power coefficients."/>
      </w:tblPr>
      <w:tblGrid/>
      <w:tr>
        <w:trPr>
          <w:cnfStyle w:firstRow="1"/>
        </w:trPr>
        <w:tc>
          <w:tcPr>
            <w:tcBorders>
              <w:bottom w:val="single"/>
            </w:tcBorders>
            <w:vAlign w:val="bottom"/>
          </w:tcPr>
          <w:p>
            <w:pPr>
              <w:pStyle w:val="Compact"/>
              <w:jc w:val="left"/>
            </w:pPr>
            <w:r>
              <w:t xml:space="preserve">Vessel</w:t>
            </w:r>
          </w:p>
        </w:tc>
        <w:tc>
          <w:tcPr>
            <w:tcBorders>
              <w:bottom w:val="single"/>
            </w:tcBorders>
            <w:vAlign w:val="bottom"/>
          </w:tcPr>
          <w:p>
            <w:pPr>
              <w:pStyle w:val="Compact"/>
              <w:jc w:val="left"/>
            </w:pPr>
            <w:r>
              <w:t xml:space="preserve">pink_cal_mixspecies</w:t>
            </w:r>
          </w:p>
        </w:tc>
        <w:tc>
          <w:tcPr>
            <w:tcBorders>
              <w:bottom w:val="single"/>
            </w:tcBorders>
            <w:vAlign w:val="bottom"/>
          </w:tcPr>
          <w:p>
            <w:pPr>
              <w:pStyle w:val="Compact"/>
              <w:jc w:val="left"/>
            </w:pPr>
            <w:r>
              <w:t xml:space="preserve">pink_cal_mixpool</w:t>
            </w:r>
          </w:p>
        </w:tc>
        <w:tc>
          <w:tcPr>
            <w:tcBorders>
              <w:bottom w:val="single"/>
            </w:tcBorders>
            <w:vAlign w:val="bottom"/>
          </w:tcPr>
          <w:p>
            <w:pPr>
              <w:pStyle w:val="Compact"/>
              <w:jc w:val="left"/>
            </w:pPr>
            <w:r>
              <w:t xml:space="preserve">pink_cal_species</w:t>
            </w:r>
          </w:p>
        </w:tc>
        <w:tc>
          <w:tcPr>
            <w:tcBorders>
              <w:bottom w:val="single"/>
            </w:tcBorders>
            <w:vAlign w:val="bottom"/>
          </w:tcPr>
          <w:p>
            <w:pPr>
              <w:pStyle w:val="Compact"/>
              <w:jc w:val="left"/>
            </w:pPr>
            <w:r>
              <w:t xml:space="preserve">pink_cal_pool</w:t>
            </w:r>
          </w:p>
        </w:tc>
      </w:tr>
      <w:tr>
        <w:tc>
          <w:p>
            <w:pPr>
              <w:pStyle w:val="Compact"/>
              <w:jc w:val="left"/>
            </w:pPr>
            <w:r>
              <w:t xml:space="preserve">Cobb</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Chellissa</w:t>
            </w:r>
          </w:p>
        </w:tc>
        <w:tc>
          <w:p>
            <w:pPr>
              <w:pStyle w:val="Compact"/>
              <w:jc w:val="left"/>
            </w:pPr>
            <w:r>
              <w:t xml:space="preserve">1/1.51</w:t>
            </w:r>
          </w:p>
        </w:tc>
        <w:tc>
          <w:p>
            <w:pPr>
              <w:pStyle w:val="Compact"/>
              <w:jc w:val="left"/>
            </w:pPr>
            <w:r>
              <w:t xml:space="preserve">1/1.51</w:t>
            </w:r>
          </w:p>
        </w:tc>
        <w:tc>
          <w:p>
            <w:pPr>
              <w:pStyle w:val="Compact"/>
              <w:jc w:val="left"/>
            </w:pPr>
            <w:r>
              <w:t xml:space="preserve">1/1.44</w:t>
            </w:r>
          </w:p>
        </w:tc>
        <w:tc>
          <w:p>
            <w:pPr>
              <w:pStyle w:val="Compact"/>
              <w:jc w:val="left"/>
            </w:pPr>
            <w:r>
              <w:t xml:space="preserve">1/1.36</w:t>
            </w:r>
          </w:p>
        </w:tc>
      </w:tr>
      <w:tr>
        <w:tc>
          <w:p>
            <w:pPr>
              <w:pStyle w:val="Compact"/>
              <w:jc w:val="left"/>
            </w:pPr>
            <w:r>
              <w:t xml:space="preserve">NW Explorer</w:t>
            </w:r>
          </w:p>
        </w:tc>
        <w:tc>
          <w:p>
            <w:pPr>
              <w:pStyle w:val="Compact"/>
              <w:jc w:val="left"/>
            </w:pPr>
            <w:r>
              <w:t xml:space="preserve">1/1.51</w:t>
            </w:r>
          </w:p>
        </w:tc>
        <w:tc>
          <w:p>
            <w:pPr>
              <w:pStyle w:val="Compact"/>
              <w:jc w:val="left"/>
            </w:pPr>
            <w:r>
              <w:t xml:space="preserve">1/1.51</w:t>
            </w:r>
          </w:p>
        </w:tc>
        <w:tc>
          <w:p>
            <w:pPr>
              <w:pStyle w:val="Compact"/>
              <w:jc w:val="left"/>
            </w:pPr>
            <w:r>
              <w:t xml:space="preserve">1/1.44</w:t>
            </w:r>
          </w:p>
        </w:tc>
        <w:tc>
          <w:p>
            <w:pPr>
              <w:pStyle w:val="Compact"/>
              <w:jc w:val="left"/>
            </w:pPr>
            <w:r>
              <w:t xml:space="preserve">1/1.36</w:t>
            </w:r>
          </w:p>
        </w:tc>
      </w:tr>
      <w:tr>
        <w:tc>
          <w:p>
            <w:pPr>
              <w:pStyle w:val="Compact"/>
              <w:jc w:val="left"/>
            </w:pPr>
            <w:r>
              <w:t xml:space="preserve">Steller</w:t>
            </w:r>
          </w:p>
        </w:tc>
        <w:tc>
          <w:p>
            <w:pPr>
              <w:pStyle w:val="Compact"/>
              <w:jc w:val="left"/>
            </w:pPr>
            <w:r>
              <w:t xml:space="preserve">1/0.96</w:t>
            </w:r>
          </w:p>
        </w:tc>
        <w:tc>
          <w:p>
            <w:pPr>
              <w:pStyle w:val="Compact"/>
              <w:jc w:val="left"/>
            </w:pPr>
            <w:r>
              <w:t xml:space="preserve">1/1.05</w:t>
            </w:r>
          </w:p>
        </w:tc>
        <w:tc>
          <w:p>
            <w:pPr>
              <w:pStyle w:val="Compact"/>
              <w:jc w:val="left"/>
            </w:pPr>
            <w:r>
              <w:t xml:space="preserve">1/0.96</w:t>
            </w:r>
          </w:p>
        </w:tc>
        <w:tc>
          <w:p>
            <w:pPr>
              <w:pStyle w:val="Compact"/>
              <w:jc w:val="left"/>
            </w:pPr>
            <w:r>
              <w:t xml:space="preserve">1/1.05</w:t>
            </w:r>
          </w:p>
        </w:tc>
      </w:tr>
      <w:tr>
        <w:tc>
          <w:p>
            <w:pPr>
              <w:pStyle w:val="Compact"/>
              <w:jc w:val="left"/>
            </w:pPr>
            <w:r>
              <w:t xml:space="preserve">Medeia</w:t>
            </w:r>
          </w:p>
        </w:tc>
        <w:tc>
          <w:p>
            <w:pPr>
              <w:pStyle w:val="Compact"/>
              <w:jc w:val="left"/>
            </w:pPr>
            <w:r>
              <w:t xml:space="preserve">1/1.13</w:t>
            </w:r>
          </w:p>
        </w:tc>
        <w:tc>
          <w:p>
            <w:pPr>
              <w:pStyle w:val="Compact"/>
              <w:jc w:val="left"/>
            </w:pPr>
            <w:r>
              <w:t xml:space="preserve">1/1.19</w:t>
            </w:r>
          </w:p>
        </w:tc>
        <w:tc>
          <w:p>
            <w:pPr>
              <w:pStyle w:val="Compact"/>
              <w:jc w:val="left"/>
            </w:pPr>
            <w:r>
              <w:t xml:space="preserve">1/1.13</w:t>
            </w:r>
          </w:p>
        </w:tc>
        <w:tc>
          <w:p>
            <w:pPr>
              <w:pStyle w:val="Compact"/>
              <w:jc w:val="left"/>
            </w:pPr>
            <w:r>
              <w:t xml:space="preserve">1/1.19</w:t>
            </w:r>
          </w:p>
        </w:tc>
      </w:tr>
    </w:tbl>
    <w:p>
      <w:pPr>
        <w:pStyle w:val="Heading1"/>
      </w:pPr>
      <w:bookmarkStart w:id="30" w:name="analysis"/>
      <w:bookmarkEnd w:id="30"/>
      <w:r>
        <w:t xml:space="preserve">Analysis</w:t>
      </w:r>
    </w:p>
    <w:p>
      <w:pPr>
        <w:pStyle w:val="FirstParagraph"/>
      </w:pPr>
      <w:r>
        <w:t xml:space="preserve">Performance metrics (Akaike Information Criterion corrected for small sample sizes; AICc values; Burnham and Anderson 2004; mean and median absolute percentage error (MAPE, MEAPE); mean absolute scaled error (MASE) (Hyndman and Kohler 2006)) were used to evaluate forecast accuracy of four alternative vessel calibration coefficients (Table 1) using the same model. For all of these metrics, the smallest value is the preferred model. The model used for the comparison of the vessel calibration coefficients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CPUE (i.e., juvenile pink salmon abundance index based on one of the four different vessel calibration coefficients; Table 2), and</w:t>
      </w:r>
      <w:r>
        <w:t xml:space="preserve"> </w:t>
      </w:r>
      <m:oMath>
        <m:sSub>
          <m:e>
            <m:r>
              <m:t>X</m:t>
            </m:r>
          </m:e>
          <m:sub>
            <m:r>
              <m:t>2</m:t>
            </m:r>
          </m:sub>
        </m:sSub>
      </m:oMath>
      <w:r>
        <w:t xml:space="preserve"> </w:t>
      </w:r>
      <w:r>
        <w:t xml:space="preserve">is the average temperature in Icy Strait in May, June, and July at the eight SECM stations in Icy Strait. CPUE data are log-transformed. Statistical analyses were performed with the R Project for Statistical computing version 3.6.3 (R Core Team 2020).</w:t>
      </w:r>
    </w:p>
    <w:p>
      <w:pPr>
        <w:pStyle w:val="TableCaption"/>
      </w:pPr>
      <w:r>
        <w:t xml:space="preserve">Comparison of the performance metrics for a model based on calculating a time-series of juvenile pink salmon abundance using different vessel calibration coefficients.</w:t>
      </w:r>
    </w:p>
    <w:tbl>
      <w:tblPr>
        <w:tblStyle w:val="TableNormal"/>
        <w:tblW w:type="pct" w:w="0.0"/>
        <w:tblLook w:firstRow="1"/>
        <w:tblCaption w:val="Comparison of the performance metrics for a model based on calculating a time-series of juvenile pink salmon abundance using different vessel calibration coefficien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forecast</w:t>
            </w:r>
          </w:p>
        </w:tc>
        <w:tc>
          <w:tcPr>
            <w:tcBorders>
              <w:bottom w:val="single"/>
            </w:tcBorders>
            <w:vAlign w:val="bottom"/>
          </w:tcPr>
          <w:p>
            <w:pPr>
              <w:pStyle w:val="Compact"/>
              <w:jc w:val="right"/>
            </w:pPr>
            <w:r>
              <w:t xml:space="preserve">lower_80</w:t>
            </w:r>
          </w:p>
        </w:tc>
        <w:tc>
          <w:tcPr>
            <w:tcBorders>
              <w:bottom w:val="single"/>
            </w:tcBorders>
            <w:vAlign w:val="bottom"/>
          </w:tcPr>
          <w:p>
            <w:pPr>
              <w:pStyle w:val="Compact"/>
              <w:jc w:val="right"/>
            </w:pPr>
            <w:r>
              <w:t xml:space="preserve">upper_80</w:t>
            </w:r>
          </w:p>
        </w:tc>
        <w:tc>
          <w:tcPr>
            <w:tcBorders>
              <w:bottom w:val="single"/>
            </w:tcBorders>
            <w:vAlign w:val="bottom"/>
          </w:tcPr>
          <w:p>
            <w:pPr>
              <w:pStyle w:val="Compact"/>
              <w:jc w:val="left"/>
            </w:pPr>
            <w:r>
              <w:t xml:space="preserve">index</w:t>
            </w:r>
          </w:p>
        </w:tc>
      </w:tr>
      <w:tr>
        <w:tc>
          <w:p>
            <w:pPr>
              <w:pStyle w:val="Compact"/>
              <w:jc w:val="left"/>
            </w:pPr>
            <w:r>
              <w:t xml:space="preserve">CPUE+ISTI</w:t>
            </w:r>
          </w:p>
        </w:tc>
        <w:tc>
          <w:p>
            <w:pPr>
              <w:pStyle w:val="Compact"/>
              <w:jc w:val="right"/>
            </w:pPr>
            <w:r>
              <w:t xml:space="preserve">0.811</w:t>
            </w:r>
          </w:p>
        </w:tc>
        <w:tc>
          <w:p>
            <w:pPr>
              <w:pStyle w:val="Compact"/>
              <w:jc w:val="right"/>
            </w:pPr>
            <w:r>
              <w:t xml:space="preserve">16</w:t>
            </w:r>
          </w:p>
        </w:tc>
        <w:tc>
          <w:p>
            <w:pPr>
              <w:pStyle w:val="Compact"/>
              <w:jc w:val="right"/>
            </w:pPr>
            <w:r>
              <w:t xml:space="preserve">0.079</w:t>
            </w:r>
          </w:p>
        </w:tc>
        <w:tc>
          <w:p>
            <w:pPr>
              <w:pStyle w:val="Compact"/>
              <w:jc w:val="right"/>
            </w:pPr>
            <w:r>
              <w:t xml:space="preserve">0.061</w:t>
            </w:r>
          </w:p>
        </w:tc>
        <w:tc>
          <w:p>
            <w:pPr>
              <w:pStyle w:val="Compact"/>
              <w:jc w:val="right"/>
            </w:pPr>
            <w:r>
              <w:t xml:space="preserve">0.262</w:t>
            </w:r>
          </w:p>
        </w:tc>
        <w:tc>
          <w:p>
            <w:pPr>
              <w:pStyle w:val="Compact"/>
              <w:jc w:val="right"/>
            </w:pPr>
            <w:r>
              <w:t xml:space="preserve">31.3</w:t>
            </w:r>
          </w:p>
        </w:tc>
        <w:tc>
          <w:p>
            <w:pPr>
              <w:pStyle w:val="Compact"/>
              <w:jc w:val="right"/>
            </w:pPr>
            <w:r>
              <w:t xml:space="preserve">20.9</w:t>
            </w:r>
          </w:p>
        </w:tc>
        <w:tc>
          <w:p>
            <w:pPr>
              <w:pStyle w:val="Compact"/>
              <w:jc w:val="right"/>
            </w:pPr>
            <w:r>
              <w:t xml:space="preserve">46.9</w:t>
            </w:r>
          </w:p>
        </w:tc>
        <w:tc>
          <w:p>
            <w:pPr>
              <w:pStyle w:val="Compact"/>
              <w:jc w:val="left"/>
            </w:pPr>
            <w:r>
              <w:t xml:space="preserve">pink_cal_mixspecies</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0.060</w:t>
            </w:r>
          </w:p>
        </w:tc>
        <w:tc>
          <w:p>
            <w:pPr>
              <w:pStyle w:val="Compact"/>
              <w:jc w:val="right"/>
            </w:pPr>
            <w:r>
              <w:t xml:space="preserve">0.256</w:t>
            </w:r>
          </w:p>
        </w:tc>
        <w:tc>
          <w:p>
            <w:pPr>
              <w:pStyle w:val="Compact"/>
              <w:jc w:val="right"/>
            </w:pPr>
            <w:r>
              <w:t xml:space="preserve">29.8</w:t>
            </w:r>
          </w:p>
        </w:tc>
        <w:tc>
          <w:p>
            <w:pPr>
              <w:pStyle w:val="Compact"/>
              <w:jc w:val="right"/>
            </w:pPr>
            <w:r>
              <w:t xml:space="preserve">20.1</w:t>
            </w:r>
          </w:p>
        </w:tc>
        <w:tc>
          <w:p>
            <w:pPr>
              <w:pStyle w:val="Compact"/>
              <w:jc w:val="right"/>
            </w:pPr>
            <w:r>
              <w:t xml:space="preserve">44.1</w:t>
            </w:r>
          </w:p>
        </w:tc>
        <w:tc>
          <w:p>
            <w:pPr>
              <w:pStyle w:val="Compact"/>
              <w:jc w:val="left"/>
            </w:pPr>
            <w:r>
              <w:t xml:space="preserve">pink_cal_mixpool</w:t>
            </w:r>
          </w:p>
        </w:tc>
      </w:tr>
      <w:tr>
        <w:tc>
          <w:p>
            <w:pPr>
              <w:pStyle w:val="Compact"/>
              <w:jc w:val="left"/>
            </w:pPr>
            <w:r>
              <w:t xml:space="preserve">CPUE+ISTI</w:t>
            </w:r>
          </w:p>
        </w:tc>
        <w:tc>
          <w:p>
            <w:pPr>
              <w:pStyle w:val="Compact"/>
              <w:jc w:val="right"/>
            </w:pPr>
            <w:r>
              <w:t xml:space="preserve">0.820</w:t>
            </w:r>
          </w:p>
        </w:tc>
        <w:tc>
          <w:p>
            <w:pPr>
              <w:pStyle w:val="Compact"/>
              <w:jc w:val="right"/>
            </w:pPr>
            <w:r>
              <w:t xml:space="preserve">15</w:t>
            </w:r>
          </w:p>
        </w:tc>
        <w:tc>
          <w:p>
            <w:pPr>
              <w:pStyle w:val="Compact"/>
              <w:jc w:val="right"/>
            </w:pPr>
            <w:r>
              <w:t xml:space="preserve">0.077</w:t>
            </w:r>
          </w:p>
        </w:tc>
        <w:tc>
          <w:p>
            <w:pPr>
              <w:pStyle w:val="Compact"/>
              <w:jc w:val="right"/>
            </w:pPr>
            <w:r>
              <w:t xml:space="preserve">0.070</w:t>
            </w:r>
          </w:p>
        </w:tc>
        <w:tc>
          <w:p>
            <w:pPr>
              <w:pStyle w:val="Compact"/>
              <w:jc w:val="right"/>
            </w:pPr>
            <w:r>
              <w:t xml:space="preserve">0.257</w:t>
            </w:r>
          </w:p>
        </w:tc>
        <w:tc>
          <w:p>
            <w:pPr>
              <w:pStyle w:val="Compact"/>
              <w:jc w:val="right"/>
            </w:pPr>
            <w:r>
              <w:t xml:space="preserve">30.6</w:t>
            </w:r>
          </w:p>
        </w:tc>
        <w:tc>
          <w:p>
            <w:pPr>
              <w:pStyle w:val="Compact"/>
              <w:jc w:val="right"/>
            </w:pPr>
            <w:r>
              <w:t xml:space="preserve">20.6</w:t>
            </w:r>
          </w:p>
        </w:tc>
        <w:tc>
          <w:p>
            <w:pPr>
              <w:pStyle w:val="Compact"/>
              <w:jc w:val="right"/>
            </w:pPr>
            <w:r>
              <w:t xml:space="preserve">45.3</w:t>
            </w:r>
          </w:p>
        </w:tc>
        <w:tc>
          <w:p>
            <w:pPr>
              <w:pStyle w:val="Compact"/>
              <w:jc w:val="left"/>
            </w:pPr>
            <w:r>
              <w:t xml:space="preserve">pink_cal_species</w:t>
            </w:r>
          </w:p>
        </w:tc>
      </w:tr>
      <w:tr>
        <w:tc>
          <w:p>
            <w:pPr>
              <w:pStyle w:val="Compact"/>
              <w:jc w:val="left"/>
            </w:pPr>
            <w:r>
              <w:t xml:space="preserve">CPUE+ISTI</w:t>
            </w:r>
          </w:p>
        </w:tc>
        <w:tc>
          <w:p>
            <w:pPr>
              <w:pStyle w:val="Compact"/>
              <w:jc w:val="right"/>
            </w:pPr>
            <w:r>
              <w:t xml:space="preserve">0.830</w:t>
            </w:r>
          </w:p>
        </w:tc>
        <w:tc>
          <w:p>
            <w:pPr>
              <w:pStyle w:val="Compact"/>
              <w:jc w:val="right"/>
            </w:pPr>
            <w:r>
              <w:t xml:space="preserve">14</w:t>
            </w:r>
          </w:p>
        </w:tc>
        <w:tc>
          <w:p>
            <w:pPr>
              <w:pStyle w:val="Compact"/>
              <w:jc w:val="right"/>
            </w:pPr>
            <w:r>
              <w:t xml:space="preserve">0.074</w:t>
            </w:r>
          </w:p>
        </w:tc>
        <w:tc>
          <w:p>
            <w:pPr>
              <w:pStyle w:val="Compact"/>
              <w:jc w:val="right"/>
            </w:pPr>
            <w:r>
              <w:t xml:space="preserve">0.060</w:t>
            </w:r>
          </w:p>
        </w:tc>
        <w:tc>
          <w:p>
            <w:pPr>
              <w:pStyle w:val="Compact"/>
              <w:jc w:val="right"/>
            </w:pPr>
            <w:r>
              <w:t xml:space="preserve">0.249</w:t>
            </w:r>
          </w:p>
        </w:tc>
        <w:tc>
          <w:p>
            <w:pPr>
              <w:pStyle w:val="Compact"/>
              <w:jc w:val="right"/>
            </w:pPr>
            <w:r>
              <w:t xml:space="preserve">28.5</w:t>
            </w:r>
          </w:p>
        </w:tc>
        <w:tc>
          <w:p>
            <w:pPr>
              <w:pStyle w:val="Compact"/>
              <w:jc w:val="right"/>
            </w:pPr>
            <w:r>
              <w:t xml:space="preserve">19.4</w:t>
            </w:r>
          </w:p>
        </w:tc>
        <w:tc>
          <w:p>
            <w:pPr>
              <w:pStyle w:val="Compact"/>
              <w:jc w:val="right"/>
            </w:pPr>
            <w:r>
              <w:t xml:space="preserve">41.7</w:t>
            </w:r>
          </w:p>
        </w:tc>
        <w:tc>
          <w:p>
            <w:pPr>
              <w:pStyle w:val="Compact"/>
              <w:jc w:val="left"/>
            </w:pPr>
            <w:r>
              <w:t xml:space="preserve">pink_cal_pool</w:t>
            </w:r>
          </w:p>
        </w:tc>
      </w:tr>
    </w:tbl>
    <w:p>
      <w:pPr>
        <w:pStyle w:val="Heading1"/>
      </w:pPr>
      <w:bookmarkStart w:id="31" w:name="conclusion"/>
      <w:bookmarkEnd w:id="31"/>
      <w:r>
        <w:t xml:space="preserve">Conclusion</w:t>
      </w:r>
    </w:p>
    <w:p>
      <w:pPr>
        <w:pStyle w:val="FirstParagraph"/>
      </w:pPr>
      <w:r>
        <w:t xml:space="preserve">Based on performance metrics, the pooled-species vessel calibration coefficient was preferred (Table 5). Therefore, the index of juvenile abundance for the 2021 SEAK pink salmon forecast will be based on the pooled-species vessel calibration coefficient.</w:t>
      </w:r>
    </w:p>
    <w:p>
      <w:pPr>
        <w:pStyle w:val="Heading1"/>
      </w:pPr>
      <w:bookmarkStart w:id="32" w:name="references"/>
      <w:bookmarkEnd w:id="32"/>
      <w:r>
        <w:t xml:space="preserve">References</w:t>
      </w:r>
    </w:p>
    <w:p>
      <w:pPr>
        <w:pStyle w:val="FirstParagraph"/>
      </w:pPr>
      <w:r>
        <w:t xml:space="preserve">Burnham, K. P., and D. R. Anderson. 2004. Multimodel inference: Understanding AIC and BIC in model selection. Sociological Methods and Research 33: 261-304.</w:t>
      </w:r>
    </w:p>
    <w:p>
      <w:pPr>
        <w:pStyle w:val="BodyText"/>
      </w:pPr>
      <w:r>
        <w:t xml:space="preserve">Hyndman, R. J. and A. B. Koehler. 2006. Another look at measures of forecast accuracy. International Journal of Forecasting 22: 679-688.</w:t>
      </w:r>
    </w:p>
    <w:p>
      <w:pPr>
        <w:pStyle w:val="BodyText"/>
      </w:pPr>
      <w:r>
        <w:t xml:space="preserve">Orsi, J. A., M. V. Sturdevant, J. M. Murphy, D. G. Mortensen, and B. L. Wing. 2000. Seasonal habitat use and early marine ecology of juvenile Pacific salmon in southeastern Alaska. NPAFC Bull. 2:111-122.</w:t>
      </w:r>
    </w:p>
    <w:p>
      <w:pPr>
        <w:pStyle w:val="BodyText"/>
      </w:pPr>
      <w:r>
        <w:t xml:space="preserve">Orsi, J. A., E. A. Fergusson, M. V. Sturdevant, B. L. Wing, A. C. Wertheimer, and W. R. Heard. 2008. Annual survey of juvenile salmon and ecologically related species and environmental factors in the marine waters of southeastern Alaska, May–August 2007. NPAFC Doc. 1110, 82 pp.</w:t>
      </w:r>
    </w:p>
    <w:p>
      <w:pPr>
        <w:pStyle w:val="BodyText"/>
      </w:pPr>
      <w:r>
        <w:t xml:space="preserve">R Core Team. 2020. R: A language and environment for statistical computing. R Foundation for Statistical Computing, Vienna, Austria. URL:</w:t>
      </w:r>
      <w:r>
        <w:t xml:space="preserve"> </w:t>
      </w:r>
      <w:hyperlink r:id="rId33">
        <w:r>
          <w:rPr>
            <w:rStyle w:val="Hyperlink"/>
          </w:rPr>
          <w:t xml:space="preserve">http://www.r-project.org/index.html</w:t>
        </w:r>
      </w:hyperlink>
    </w:p>
    <w:p>
      <w:pPr>
        <w:pStyle w:val="BodyText"/>
      </w:pPr>
      <w:r>
        <w:t xml:space="preserve">Wertheimer, A. C., J. A. Orsi, E. A. Fergusson, and M. V. Sturdevant. 2008. Paired comparisons of juvenile salmon catches between two research vessels fishing Nordic 264 surface trawls in southeastern Alaska, July 2007. NPAFC Doc. 1112.,17 p.</w:t>
      </w:r>
    </w:p>
    <w:p>
      <w:pPr>
        <w:pStyle w:val="BodyText"/>
      </w:pPr>
      <w:r>
        <w:t xml:space="preserve">Wertheimer, A. C., J. A. Orsi, E. A. Fergusson, and M. V. Sturdevant. 2009. Calibration of Juvenile Salmon Catches using Paired Comparisons between Two Research Vessels Fishing Nordic 264 Surface Trawls in Southeastern Alaska, July 2008. NPAFC Doc. 1180. 18 pp.</w:t>
      </w:r>
    </w:p>
    <w:p>
      <w:pPr>
        <w:pStyle w:val="BodyText"/>
      </w:pPr>
      <w:r>
        <w:t xml:space="preserve">Wertheimer, A. C., J. A. Orsi, E. A. Fergusson, and M. V. Sturdevant. 2010. Calibration of Juvenile Salmon Catches using Paired Comparisons between Two Research Vessels Fishing Nordic 264 Surface Trawls in Southeast Alaska, July 2009. NPAFC Doc. 1177. 19 pp. (Available at</w:t>
      </w:r>
      <w:r>
        <w:t xml:space="preserve"> </w:t>
      </w:r>
      <w:hyperlink r:id="rId34">
        <w:r>
          <w:rPr>
            <w:rStyle w:val="Hyperlink"/>
          </w:rPr>
          <w:t xml:space="preserve">http://www.npafc.org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d9c0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0bf2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www.npafc.org" TargetMode="External" /><Relationship Type="http://schemas.openxmlformats.org/officeDocument/2006/relationships/hyperlink" Id="rId33" Target="http://www.r-project.org/index.html" TargetMode="External" /></Relationships>
</file>

<file path=word/_rels/footnotes.xml.rels><?xml version="1.0" encoding="UTF-8"?>
<Relationships xmlns="http://schemas.openxmlformats.org/package/2006/relationships"><Relationship Type="http://schemas.openxmlformats.org/officeDocument/2006/relationships/hyperlink" Id="rId34" Target="http://www.npafc.org" TargetMode="External" /><Relationship Type="http://schemas.openxmlformats.org/officeDocument/2006/relationships/hyperlink" Id="rId33" Target="http://www.r-project.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Salmon Vessel Calibration Coefficient Discussion</dc:title>
  <dc:creator>Sara Miller, Rich Brenner, Jim Murphy</dc:creator>
  <dcterms:created xsi:type="dcterms:W3CDTF">2020-11-04T21:52:43Z</dcterms:created>
  <dcterms:modified xsi:type="dcterms:W3CDTF">2020-11-04T21:52:43Z</dcterms:modified>
</cp:coreProperties>
</file>