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4832" w14:textId="77777777" w:rsidR="006363CA" w:rsidRPr="005B7A3E" w:rsidRDefault="006363CA" w:rsidP="006363CA">
      <w:pPr>
        <w:rPr>
          <w:b/>
          <w:bCs/>
          <w:i/>
          <w:iCs/>
        </w:rPr>
      </w:pPr>
      <w:bookmarkStart w:id="0" w:name="_Toc87447053"/>
      <w:r w:rsidRPr="005B7A3E">
        <w:rPr>
          <w:b/>
          <w:bCs/>
          <w:i/>
          <w:iCs/>
        </w:rPr>
        <w:t>Multiple Linear Regression</w:t>
      </w:r>
      <w:bookmarkEnd w:id="0"/>
    </w:p>
    <w:p w14:paraId="14ED846D" w14:textId="77777777" w:rsidR="006363CA" w:rsidRPr="0026758A" w:rsidRDefault="006363CA" w:rsidP="006363CA">
      <w:r>
        <w:t>The first approach wa</w:t>
      </w:r>
      <w:r w:rsidRPr="0026758A">
        <w:t>s based on a multiple regression model with juvenile pink salmon catch-per-unit-effort (CPUE) and temperature data from the Southeast Alaska Coastal Monitoring Survey (SECM; Piston et al. 2021) or from satellite sea surface temperature data (</w:t>
      </w:r>
      <w:r w:rsidRPr="00E30909">
        <w:t>NOAA Coral Reef Watch 2021</w:t>
      </w:r>
      <w:r>
        <w:t xml:space="preserve">a and 2021b) </w:t>
      </w:r>
      <w:r w:rsidRPr="003B1394">
        <w:rPr>
          <w:highlight w:val="yellow"/>
        </w:rPr>
        <w:t>aggregated</w:t>
      </w:r>
      <w:r>
        <w:t xml:space="preserve"> using principal component analysis.  Three</w:t>
      </w:r>
      <w:r w:rsidRPr="0026758A">
        <w:t xml:space="preserve"> hierarchical models were investigated. The full model was:</w:t>
      </w:r>
    </w:p>
    <w:p w14:paraId="76FE1067" w14:textId="77777777" w:rsidR="006363CA" w:rsidRPr="0026758A" w:rsidRDefault="006363CA" w:rsidP="006363CA">
      <m:oMath>
        <m:r>
          <w:rPr>
            <w:rFonts w:ascii="Cambria Math" w:hAnsi="Cambria Math"/>
          </w:rPr>
          <m:t>E(y)=α+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</m:oMath>
      <w:r>
        <w:tab/>
      </w:r>
      <w:r>
        <w:tab/>
      </w:r>
      <w:r>
        <w:tab/>
        <w:t xml:space="preserve">                   (1)</w:t>
      </w:r>
    </w:p>
    <w:p w14:paraId="0BC83236" w14:textId="77777777" w:rsidR="006363CA" w:rsidRDefault="006363CA" w:rsidP="006363CA">
      <w:r w:rsidRPr="0026758A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758A">
        <w:t xml:space="preserve"> </w:t>
      </w:r>
      <w:r>
        <w:t>wa</w:t>
      </w:r>
      <w:r w:rsidRPr="0026758A">
        <w:t xml:space="preserve">s the average CPUE for catches in either the June or July survey, whichever month had the highest average catches in a given year, and was based on the pooled-species vessel calibration coefficient,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6758A">
        <w:t xml:space="preserve"> </w:t>
      </w:r>
      <w:r>
        <w:t>wa</w:t>
      </w:r>
      <w:r w:rsidRPr="0026758A">
        <w:t>s a temperature index</w:t>
      </w:r>
      <w:r>
        <w:t xml:space="preserve"> (SECM survey 20m depth temperature data or PCA-aggregated satellite SST data)</w:t>
      </w:r>
      <w:r w:rsidRPr="0026758A">
        <w:t>. The CPUE data were log-transformed in the model, but temperature data were not. The simplest model did not contain a temperature variable</w:t>
      </w:r>
      <w:r>
        <w:t>.</w:t>
      </w:r>
      <w:r w:rsidRPr="003B1394">
        <w:t xml:space="preserve"> </w:t>
      </w:r>
      <w:r>
        <w:t>O</w:t>
      </w:r>
      <w:r w:rsidRPr="0026758A">
        <w:t>ne</w:t>
      </w:r>
      <w:r>
        <w:t>-</w:t>
      </w:r>
      <w:r w:rsidRPr="0026758A">
        <w:t>step</w:t>
      </w:r>
      <w:r>
        <w:t>-</w:t>
      </w:r>
      <w:r w:rsidRPr="0026758A">
        <w:t>ahead forecasts for the last five years (years 2017 through 2021), and significant coefficients (i.e., covariates) in the model</w:t>
      </w:r>
      <w:r>
        <w:t xml:space="preserve"> were used to evaluate forecast accuracy of models. The model with the lowest one-step-ahead MAPE </w:t>
      </w:r>
      <w:r>
        <w:rPr>
          <w:iCs/>
        </w:rPr>
        <w:t>value is the preferred model.</w:t>
      </w:r>
    </w:p>
    <w:p w14:paraId="1A3AFF96" w14:textId="77777777" w:rsidR="006363CA" w:rsidRPr="0026758A" w:rsidRDefault="006363CA" w:rsidP="006363CA">
      <w:r w:rsidRPr="0026758A">
        <w:t xml:space="preserve">The performance metric </w:t>
      </w:r>
      <w:r w:rsidRPr="009E0230">
        <w:rPr>
          <w:iCs/>
        </w:rPr>
        <w:t>MAPE</w:t>
      </w:r>
      <w:r w:rsidRPr="0026758A">
        <w:t xml:space="preserve"> </w:t>
      </w:r>
      <w:r>
        <w:t xml:space="preserve">(Hyndman and Koehler 2006) </w:t>
      </w:r>
      <w:r w:rsidRPr="0026758A">
        <w:t>was calculated as:</w:t>
      </w:r>
    </w:p>
    <w:p w14:paraId="646BD948" w14:textId="77777777" w:rsidR="006363CA" w:rsidRPr="0026758A" w:rsidRDefault="006363CA" w:rsidP="006363CA">
      <m:oMath>
        <m:r>
          <m:rPr>
            <m:sty m:val="p"/>
          </m:rPr>
          <w:rPr>
            <w:rFonts w:ascii="Cambria Math" w:hAnsi="Cambria Math"/>
          </w:rPr>
          <m:t>MAPE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|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|</m:t>
        </m:r>
      </m:oMath>
      <w:r>
        <w:tab/>
      </w:r>
      <w:r>
        <w:tab/>
      </w:r>
      <w:r>
        <w:tab/>
      </w:r>
      <w:r>
        <w:tab/>
        <w:t xml:space="preserve">       (2)</w:t>
      </w:r>
    </w:p>
    <w:p w14:paraId="187B9D6A" w14:textId="77777777" w:rsidR="006363CA" w:rsidRPr="0026758A" w:rsidRDefault="006363CA" w:rsidP="006363CA">
      <w:r w:rsidRPr="0026758A"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6758A">
        <w:t xml:space="preserve"> is the observed value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6758A">
        <w:t xml:space="preserve"> is the predicted value. </w:t>
      </w:r>
    </w:p>
    <w:p w14:paraId="5952A174" w14:textId="77777777" w:rsidR="006363CA" w:rsidRPr="0026758A" w:rsidRDefault="006363CA" w:rsidP="006363CA">
      <w:r w:rsidRPr="0026758A">
        <w:t xml:space="preserve">The performance metric </w:t>
      </w:r>
      <w:r>
        <w:t xml:space="preserve">one-step-ahead </w:t>
      </w:r>
      <w:r w:rsidRPr="009E0230">
        <w:rPr>
          <w:iCs/>
        </w:rPr>
        <w:t>MAPE</w:t>
      </w:r>
      <w:r w:rsidRPr="0026758A">
        <w:t xml:space="preserve"> involves </w:t>
      </w:r>
      <w:r>
        <w:t>five</w:t>
      </w:r>
      <w:r w:rsidRPr="0026758A">
        <w:t xml:space="preserve"> steps:</w:t>
      </w:r>
    </w:p>
    <w:p w14:paraId="5208D6F3" w14:textId="77777777" w:rsidR="006363CA" w:rsidRPr="0026758A" w:rsidRDefault="006363CA" w:rsidP="006363CA">
      <w:r w:rsidRPr="0026758A">
        <w:t xml:space="preserve">Estimate the regression parameters at time </w:t>
      </w:r>
      <m:oMath>
        <m:r>
          <w:rPr>
            <w:rFonts w:ascii="Cambria Math" w:hAnsi="Cambria Math"/>
          </w:rPr>
          <m:t>t</m:t>
        </m:r>
      </m:oMath>
      <w:r w:rsidRPr="0026758A">
        <w:t xml:space="preserve"> from data up to time </w:t>
      </w:r>
      <m:oMath>
        <m:r>
          <w:rPr>
            <w:rFonts w:ascii="Cambria Math" w:hAnsi="Cambria Math"/>
          </w:rPr>
          <m:t>t-1</m:t>
        </m:r>
      </m:oMath>
      <w:r w:rsidRPr="0026758A">
        <w:t>.</w:t>
      </w:r>
    </w:p>
    <w:p w14:paraId="382B1320" w14:textId="77777777" w:rsidR="006363CA" w:rsidRPr="0026758A" w:rsidRDefault="006363CA" w:rsidP="006363CA">
      <w:r w:rsidRPr="0026758A">
        <w:t xml:space="preserve">Make a prediction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6758A">
        <w:t xml:space="preserve"> at time </w:t>
      </w:r>
      <m:oMath>
        <m:r>
          <w:rPr>
            <w:rFonts w:ascii="Cambria Math" w:hAnsi="Cambria Math"/>
          </w:rPr>
          <m:t>t</m:t>
        </m:r>
      </m:oMath>
      <w:r w:rsidRPr="0026758A">
        <w:t xml:space="preserve"> based on the predictor variables at time </w:t>
      </w:r>
      <m:oMath>
        <m:r>
          <w:rPr>
            <w:rFonts w:ascii="Cambria Math" w:hAnsi="Cambria Math"/>
          </w:rPr>
          <m:t>t</m:t>
        </m:r>
      </m:oMath>
      <w:r w:rsidRPr="0026758A">
        <w:t xml:space="preserve"> and the estimate of the regression parameters at time </w:t>
      </w:r>
      <m:oMath>
        <m:r>
          <w:rPr>
            <w:rFonts w:ascii="Cambria Math" w:hAnsi="Cambria Math"/>
          </w:rPr>
          <m:t>t</m:t>
        </m:r>
      </m:oMath>
      <w:r w:rsidRPr="0026758A">
        <w:t>.</w:t>
      </w:r>
    </w:p>
    <w:p w14:paraId="67898D36" w14:textId="77777777" w:rsidR="006363CA" w:rsidRPr="0026758A" w:rsidRDefault="006363CA" w:rsidP="006363CA">
      <w:r w:rsidRPr="0026758A">
        <w:t xml:space="preserve">Calculate the </w:t>
      </w:r>
      <w:r w:rsidRPr="0026758A">
        <w:rPr>
          <w:i/>
        </w:rPr>
        <w:t>MAPE</w:t>
      </w:r>
      <w:r w:rsidRPr="0026758A">
        <w:t xml:space="preserve"> based on the prediction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6758A">
        <w:t xml:space="preserve"> at time </w:t>
      </w:r>
      <m:oMath>
        <m:r>
          <w:rPr>
            <w:rFonts w:ascii="Cambria Math" w:hAnsi="Cambria Math"/>
          </w:rPr>
          <m:t>t</m:t>
        </m:r>
      </m:oMath>
      <w:r w:rsidRPr="0026758A">
        <w:t xml:space="preserve"> and the observed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6758A">
        <w:t xml:space="preserve"> at time </w:t>
      </w:r>
      <m:oMath>
        <m:r>
          <w:rPr>
            <w:rFonts w:ascii="Cambria Math" w:hAnsi="Cambria Math"/>
          </w:rPr>
          <m:t>t</m:t>
        </m:r>
      </m:oMath>
      <w:r w:rsidRPr="0026758A">
        <w:t>.</w:t>
      </w:r>
    </w:p>
    <w:p w14:paraId="22FB419C" w14:textId="77777777" w:rsidR="006363CA" w:rsidRPr="0026758A" w:rsidRDefault="006363CA" w:rsidP="006363CA">
      <w:r w:rsidRPr="0026758A">
        <w:t xml:space="preserve">Repeat this for data up through year 2016 (e.g., data up through year 2016 is </w:t>
      </w:r>
      <m:oMath>
        <m:r>
          <w:rPr>
            <w:rFonts w:ascii="Cambria Math" w:hAnsi="Cambria Math"/>
          </w:rPr>
          <m:t>t-1</m:t>
        </m:r>
      </m:oMath>
      <w:r w:rsidRPr="0026758A">
        <w:t xml:space="preserve"> and the forecast is for year 2017; </w:t>
      </w:r>
      <m:oMath>
        <m:r>
          <w:rPr>
            <w:rFonts w:ascii="Cambria Math" w:hAnsi="Cambria Math"/>
          </w:rPr>
          <m:t>t</m:t>
        </m:r>
      </m:oMath>
      <w:r w:rsidRPr="0026758A">
        <w:t xml:space="preserve">), data up through year 2017 (e.g., data up through year 2017 is </w:t>
      </w:r>
      <m:oMath>
        <m:r>
          <w:rPr>
            <w:rFonts w:ascii="Cambria Math" w:hAnsi="Cambria Math"/>
          </w:rPr>
          <m:t>t-1</m:t>
        </m:r>
      </m:oMath>
      <w:r w:rsidRPr="0026758A">
        <w:t xml:space="preserve"> and the forecast is for year 2018; </w:t>
      </w:r>
      <m:oMath>
        <m:r>
          <w:rPr>
            <w:rFonts w:ascii="Cambria Math" w:hAnsi="Cambria Math"/>
          </w:rPr>
          <m:t>t</m:t>
        </m:r>
      </m:oMath>
      <w:r w:rsidRPr="0026758A">
        <w:t>), data up through year 2018 to forecast 2019, data up through year 2019 to f</w:t>
      </w:r>
      <w:proofErr w:type="spellStart"/>
      <w:r w:rsidRPr="0026758A">
        <w:t>orecast</w:t>
      </w:r>
      <w:proofErr w:type="spellEnd"/>
      <w:r w:rsidRPr="0026758A">
        <w:t xml:space="preserve"> 2020, and data up through year 2020 to forecast 2021.</w:t>
      </w:r>
    </w:p>
    <w:p w14:paraId="1C10D437" w14:textId="77777777" w:rsidR="006363CA" w:rsidRDefault="006363CA" w:rsidP="006363CA">
      <w:r w:rsidRPr="0026758A">
        <w:t xml:space="preserve">The </w:t>
      </w:r>
      <w:r>
        <w:t xml:space="preserve">one-step-ahead </w:t>
      </w:r>
      <w:r w:rsidRPr="009E0230">
        <w:rPr>
          <w:iCs/>
        </w:rPr>
        <w:t>MAPE</w:t>
      </w:r>
      <w:r w:rsidRPr="0026758A">
        <w:t xml:space="preserve"> </w:t>
      </w:r>
      <w:r>
        <w:t xml:space="preserve">performance metric </w:t>
      </w:r>
      <w:r w:rsidRPr="0026758A">
        <w:t xml:space="preserve">will then be an average of the </w:t>
      </w:r>
      <w:r w:rsidRPr="00450C03">
        <w:rPr>
          <w:iCs/>
        </w:rPr>
        <w:t>MAPE</w:t>
      </w:r>
      <w:r w:rsidRPr="0026758A">
        <w:t xml:space="preserve"> calculated from these five forecasts.</w:t>
      </w:r>
    </w:p>
    <w:p w14:paraId="4CAA13F4" w14:textId="77777777" w:rsidR="006363CA" w:rsidRPr="003248E2" w:rsidRDefault="006363CA" w:rsidP="006363CA">
      <w:r w:rsidRPr="003248E2">
        <w:t xml:space="preserve">To correct for log transformation bias in a linear-model, a bias correction (Miller 1984) was applied to the predicted 2022 SEAK harvest and its prediction interval (output from the car package (Fox and Weisberg 2019) in program R (R Core Team 2020)) from </w:t>
      </w:r>
      <w:r>
        <w:t>the preferred model</w:t>
      </w:r>
      <w:r w:rsidRPr="003248E2">
        <w:t xml:space="preserve">. The bias correction, applied to each value, </w:t>
      </w:r>
      <w:r>
        <w:t>wa</w:t>
      </w:r>
      <w:r w:rsidRPr="003248E2">
        <w:t>s:</w:t>
      </w:r>
    </w:p>
    <w:p w14:paraId="33CC468B" w14:textId="77777777" w:rsidR="006363CA" w:rsidRDefault="006363CA" w:rsidP="006363CA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ab/>
      </w:r>
      <w:r>
        <w:tab/>
      </w:r>
      <w:r>
        <w:tab/>
        <w:t xml:space="preserve">                   </w:t>
      </w:r>
      <w:r>
        <w:tab/>
        <w:t xml:space="preserve">       (3)</w:t>
      </w:r>
    </w:p>
    <w:p w14:paraId="3EBB003D" w14:textId="77777777" w:rsidR="006363CA" w:rsidRDefault="006363CA" w:rsidP="006363CA">
      <w:r w:rsidRPr="00AB3375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B3375">
        <w:rPr>
          <w:rFonts w:eastAsia="LMMathItalic10-Regular"/>
          <w:i/>
          <w:iCs/>
        </w:rPr>
        <w:t xml:space="preserve"> </w:t>
      </w:r>
      <w:r>
        <w:t>wa</w:t>
      </w:r>
      <w:r w:rsidRPr="00AB3375">
        <w:t>s the predicted value (or 80% upper or lower prediction interval value) from the</w:t>
      </w:r>
      <w:r>
        <w:t xml:space="preserve"> </w:t>
      </w:r>
      <w:r w:rsidRPr="00AB3375">
        <w:t>individual model</w:t>
      </w:r>
      <w:r>
        <w:t xml:space="preserve"> </w:t>
      </w:r>
      <w:r>
        <w:rPr>
          <w:rFonts w:eastAsia="LMMathItalic10-Regular"/>
          <w:i/>
          <w:iCs/>
        </w:rPr>
        <w:t>i;</w:t>
      </w:r>
      <w:r w:rsidRPr="00882C0C">
        <w:t xml:space="preserve"> </w:t>
      </w:r>
      <w:r>
        <w:t>(</w:t>
      </w:r>
      <w:r>
        <w:rPr>
          <w:i/>
          <w:iCs/>
        </w:rPr>
        <w:t>i</w:t>
      </w:r>
      <w:r>
        <w:t xml:space="preserve"> = 1, 2, … , </w:t>
      </w:r>
      <w:r>
        <w:rPr>
          <w:i/>
          <w:iCs/>
        </w:rPr>
        <w:t>R</w:t>
      </w:r>
      <w:r>
        <w:t>)</w:t>
      </w:r>
      <w:r w:rsidRPr="00AB3375">
        <w:t>.</w:t>
      </w:r>
    </w:p>
    <w:p w14:paraId="4227C0BC" w14:textId="77777777" w:rsidR="00184706" w:rsidRDefault="006363CA"/>
    <w:sectPr w:rsidR="0018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A9418" w14:textId="77777777" w:rsidR="006363CA" w:rsidRDefault="006363CA" w:rsidP="006363CA">
      <w:pPr>
        <w:spacing w:after="0"/>
      </w:pPr>
      <w:r>
        <w:separator/>
      </w:r>
    </w:p>
  </w:endnote>
  <w:endnote w:type="continuationSeparator" w:id="0">
    <w:p w14:paraId="6CFB1B07" w14:textId="77777777" w:rsidR="006363CA" w:rsidRDefault="006363CA" w:rsidP="006363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athItalic10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A01FB" w14:textId="77777777" w:rsidR="006363CA" w:rsidRDefault="006363CA" w:rsidP="006363CA">
      <w:pPr>
        <w:spacing w:after="0"/>
      </w:pPr>
      <w:r>
        <w:separator/>
      </w:r>
    </w:p>
  </w:footnote>
  <w:footnote w:type="continuationSeparator" w:id="0">
    <w:p w14:paraId="34CF7025" w14:textId="77777777" w:rsidR="006363CA" w:rsidRDefault="006363CA" w:rsidP="006363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CA"/>
    <w:rsid w:val="00420E99"/>
    <w:rsid w:val="005818A0"/>
    <w:rsid w:val="006363CA"/>
    <w:rsid w:val="007E60DE"/>
    <w:rsid w:val="00E4369F"/>
    <w:rsid w:val="00E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E7A004"/>
  <w15:chartTrackingRefBased/>
  <w15:docId w15:val="{539801E8-E237-4255-9CF9-13612ADB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363CA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Sara E (DFG)</dc:creator>
  <cp:keywords/>
  <dc:description/>
  <cp:lastModifiedBy>Miller, Sara E (DFG)</cp:lastModifiedBy>
  <cp:revision>1</cp:revision>
  <dcterms:created xsi:type="dcterms:W3CDTF">2022-01-31T20:33:00Z</dcterms:created>
  <dcterms:modified xsi:type="dcterms:W3CDTF">2022-01-31T20:34:00Z</dcterms:modified>
</cp:coreProperties>
</file>