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7060" w14:textId="77777777" w:rsidR="00B769A6" w:rsidRPr="003879D7" w:rsidRDefault="00B769A6" w:rsidP="00B769A6">
      <w:pPr>
        <w:keepNext/>
        <w:keepLines/>
        <w:tabs>
          <w:tab w:val="left" w:pos="1584"/>
        </w:tabs>
        <w:ind w:left="1800" w:hanging="1800"/>
        <w:jc w:val="left"/>
        <w:outlineLvl w:val="0"/>
        <w:rPr>
          <w:bCs/>
          <w:caps/>
        </w:rPr>
      </w:pPr>
      <w:r w:rsidRPr="00B769A6">
        <w:rPr>
          <w:b/>
          <w:bCs/>
        </w:rPr>
        <w:t>Forecast</w:t>
      </w:r>
      <w:r w:rsidRPr="003879D7">
        <w:rPr>
          <w:bCs/>
          <w:caps/>
        </w:rPr>
        <w:t xml:space="preserve"> </w:t>
      </w:r>
      <w:r w:rsidR="00BE1D92" w:rsidRPr="00BE1D92">
        <w:rPr>
          <w:b/>
          <w:bCs/>
        </w:rPr>
        <w:t>Area</w:t>
      </w:r>
      <w:r w:rsidRPr="00BE1D92">
        <w:rPr>
          <w:b/>
          <w:bCs/>
        </w:rPr>
        <w:t>: Alaska Peninsula, South Alaska Peninsula Aggregate</w:t>
      </w:r>
      <w:r w:rsidRPr="003879D7">
        <w:rPr>
          <w:bCs/>
          <w:caps/>
        </w:rPr>
        <w:t xml:space="preserve"> </w:t>
      </w:r>
    </w:p>
    <w:p w14:paraId="7FA5C84C" w14:textId="77777777" w:rsidR="00B769A6" w:rsidRPr="003879D7" w:rsidRDefault="00B769A6" w:rsidP="00B769A6">
      <w:pPr>
        <w:keepNext/>
        <w:keepLines/>
        <w:tabs>
          <w:tab w:val="left" w:pos="1584"/>
        </w:tabs>
        <w:ind w:left="1800" w:hanging="1800"/>
        <w:jc w:val="left"/>
        <w:outlineLvl w:val="0"/>
        <w:rPr>
          <w:b/>
          <w:bCs/>
        </w:rPr>
      </w:pPr>
      <w:r w:rsidRPr="003879D7">
        <w:rPr>
          <w:b/>
          <w:bCs/>
        </w:rPr>
        <w:t>Species: Pink Salmon</w:t>
      </w:r>
    </w:p>
    <w:p w14:paraId="1601F902" w14:textId="2923E877" w:rsidR="00B769A6" w:rsidRPr="003879D7" w:rsidRDefault="00B769A6" w:rsidP="00B769A6">
      <w:pPr>
        <w:rPr>
          <w:b/>
        </w:rPr>
      </w:pPr>
      <w:r w:rsidRPr="003879D7">
        <w:rPr>
          <w:b/>
        </w:rPr>
        <w:t>Preliminary forecast of the 20</w:t>
      </w:r>
      <w:r w:rsidR="003A290F">
        <w:rPr>
          <w:b/>
        </w:rPr>
        <w:t>20</w:t>
      </w:r>
      <w:r w:rsidRPr="003879D7">
        <w:rPr>
          <w:b/>
        </w:rPr>
        <w:t xml:space="preserve"> run</w:t>
      </w:r>
    </w:p>
    <w:tbl>
      <w:tblPr>
        <w:tblW w:w="5000" w:type="pct"/>
        <w:tblLook w:val="0000" w:firstRow="0" w:lastRow="0" w:firstColumn="0" w:lastColumn="0" w:noHBand="0" w:noVBand="0"/>
      </w:tblPr>
      <w:tblGrid>
        <w:gridCol w:w="2920"/>
        <w:gridCol w:w="2442"/>
        <w:gridCol w:w="3908"/>
      </w:tblGrid>
      <w:tr w:rsidR="00B769A6" w:rsidRPr="003879D7" w14:paraId="4D0D79E4" w14:textId="77777777" w:rsidTr="00E74FFD">
        <w:trPr>
          <w:trHeight w:hRule="exact" w:val="288"/>
        </w:trPr>
        <w:tc>
          <w:tcPr>
            <w:tcW w:w="1575" w:type="pct"/>
            <w:tcBorders>
              <w:top w:val="single" w:sz="4" w:space="0" w:color="auto"/>
              <w:bottom w:val="single" w:sz="4" w:space="0" w:color="auto"/>
            </w:tcBorders>
          </w:tcPr>
          <w:p w14:paraId="64BA7CB1" w14:textId="77777777" w:rsidR="00B769A6" w:rsidRPr="003879D7" w:rsidRDefault="00B769A6" w:rsidP="002D0DF8">
            <w:r w:rsidRPr="003879D7">
              <w:t>Total Production</w:t>
            </w:r>
          </w:p>
        </w:tc>
        <w:tc>
          <w:tcPr>
            <w:tcW w:w="1317" w:type="pct"/>
            <w:tcBorders>
              <w:top w:val="single" w:sz="4" w:space="0" w:color="auto"/>
              <w:bottom w:val="single" w:sz="4" w:space="0" w:color="auto"/>
            </w:tcBorders>
          </w:tcPr>
          <w:p w14:paraId="614E90A1" w14:textId="77777777" w:rsidR="00B769A6" w:rsidRPr="003879D7" w:rsidRDefault="00B769A6" w:rsidP="002D0DF8">
            <w:pPr>
              <w:jc w:val="right"/>
            </w:pPr>
            <w:r w:rsidRPr="003879D7">
              <w:t>Forecast Estimate (millions)</w:t>
            </w:r>
          </w:p>
        </w:tc>
        <w:tc>
          <w:tcPr>
            <w:tcW w:w="2108" w:type="pct"/>
            <w:tcBorders>
              <w:top w:val="single" w:sz="4" w:space="0" w:color="auto"/>
              <w:bottom w:val="single" w:sz="4" w:space="0" w:color="auto"/>
            </w:tcBorders>
          </w:tcPr>
          <w:p w14:paraId="1E0F53C5" w14:textId="77777777" w:rsidR="00B769A6" w:rsidRPr="003879D7" w:rsidRDefault="00B769A6" w:rsidP="002D0DF8">
            <w:pPr>
              <w:jc w:val="right"/>
            </w:pPr>
            <w:r w:rsidRPr="003879D7">
              <w:t>Forecast Range (millions)</w:t>
            </w:r>
          </w:p>
        </w:tc>
      </w:tr>
      <w:tr w:rsidR="00B769A6" w:rsidRPr="003879D7" w14:paraId="678662FB" w14:textId="77777777" w:rsidTr="001F0B65">
        <w:trPr>
          <w:trHeight w:hRule="exact" w:val="288"/>
        </w:trPr>
        <w:tc>
          <w:tcPr>
            <w:tcW w:w="1575" w:type="pct"/>
            <w:tcBorders>
              <w:top w:val="single" w:sz="4" w:space="0" w:color="auto"/>
            </w:tcBorders>
          </w:tcPr>
          <w:p w14:paraId="190A0B0E" w14:textId="6637702B" w:rsidR="00B769A6" w:rsidRPr="00FF7B1A" w:rsidRDefault="00B769A6" w:rsidP="002D0DF8">
            <w:r w:rsidRPr="00FF7B1A">
              <w:t>Total Run Estimate</w:t>
            </w:r>
            <w:r w:rsidR="00D13FDB">
              <w:t xml:space="preserve"> </w:t>
            </w:r>
            <w:r w:rsidR="003A290F" w:rsidRPr="003879D7">
              <w:rPr>
                <w:sz w:val="22"/>
                <w:szCs w:val="22"/>
                <w:vertAlign w:val="superscript"/>
              </w:rPr>
              <w:t>a</w:t>
            </w:r>
            <w:r w:rsidRPr="00FF7B1A">
              <w:t xml:space="preserve"> </w:t>
            </w:r>
          </w:p>
        </w:tc>
        <w:tc>
          <w:tcPr>
            <w:tcW w:w="1317" w:type="pct"/>
            <w:tcBorders>
              <w:top w:val="single" w:sz="4" w:space="0" w:color="auto"/>
            </w:tcBorders>
            <w:vAlign w:val="bottom"/>
          </w:tcPr>
          <w:p w14:paraId="3156C8CA" w14:textId="5365D99E" w:rsidR="00B769A6" w:rsidRPr="00FF7B1A" w:rsidRDefault="00D13FDB" w:rsidP="00957D4B">
            <w:pPr>
              <w:jc w:val="right"/>
            </w:pPr>
            <w:r>
              <w:t>2.2</w:t>
            </w:r>
            <w:r w:rsidR="00DF4D1B">
              <w:t>0</w:t>
            </w:r>
          </w:p>
        </w:tc>
        <w:tc>
          <w:tcPr>
            <w:tcW w:w="2108" w:type="pct"/>
            <w:tcBorders>
              <w:top w:val="single" w:sz="4" w:space="0" w:color="auto"/>
            </w:tcBorders>
            <w:vAlign w:val="bottom"/>
          </w:tcPr>
          <w:p w14:paraId="6961C9C4" w14:textId="461E7A74" w:rsidR="00B769A6" w:rsidRPr="00167BE3" w:rsidRDefault="00F0047D" w:rsidP="00B54D6F">
            <w:pPr>
              <w:jc w:val="right"/>
            </w:pPr>
            <w:r w:rsidRPr="00FF7B1A">
              <w:t>0</w:t>
            </w:r>
            <w:r w:rsidR="00402487" w:rsidRPr="00FF7B1A">
              <w:t>–</w:t>
            </w:r>
            <w:r w:rsidRPr="00FF7B1A">
              <w:t>7.</w:t>
            </w:r>
            <w:r w:rsidR="00D13FDB">
              <w:t>8</w:t>
            </w:r>
          </w:p>
        </w:tc>
      </w:tr>
      <w:tr w:rsidR="00B769A6" w:rsidRPr="003879D7" w14:paraId="3A822398" w14:textId="77777777" w:rsidTr="00E74FFD">
        <w:trPr>
          <w:trHeight w:hRule="exact" w:val="288"/>
        </w:trPr>
        <w:tc>
          <w:tcPr>
            <w:tcW w:w="1575" w:type="pct"/>
          </w:tcPr>
          <w:p w14:paraId="29901DE9" w14:textId="1A4C8909" w:rsidR="00B769A6" w:rsidRPr="003879D7" w:rsidRDefault="00B769A6" w:rsidP="002D0DF8">
            <w:r w:rsidRPr="003879D7">
              <w:t>Escapement Goal</w:t>
            </w:r>
            <w:r w:rsidRPr="003879D7">
              <w:rPr>
                <w:sz w:val="22"/>
                <w:szCs w:val="22"/>
                <w:vertAlign w:val="superscript"/>
              </w:rPr>
              <w:t xml:space="preserve"> </w:t>
            </w:r>
            <w:r w:rsidR="003A290F">
              <w:rPr>
                <w:sz w:val="22"/>
                <w:szCs w:val="22"/>
                <w:vertAlign w:val="superscript"/>
              </w:rPr>
              <w:t>b</w:t>
            </w:r>
          </w:p>
        </w:tc>
        <w:tc>
          <w:tcPr>
            <w:tcW w:w="1317" w:type="pct"/>
            <w:vAlign w:val="bottom"/>
          </w:tcPr>
          <w:p w14:paraId="18D84E9C" w14:textId="0531F065" w:rsidR="00B769A6" w:rsidRPr="00167BE3" w:rsidRDefault="00DF4D1B" w:rsidP="002D0DF8">
            <w:pPr>
              <w:jc w:val="right"/>
            </w:pPr>
            <w:r>
              <w:t>1.75</w:t>
            </w:r>
          </w:p>
        </w:tc>
        <w:tc>
          <w:tcPr>
            <w:tcW w:w="2108" w:type="pct"/>
            <w:vAlign w:val="bottom"/>
          </w:tcPr>
          <w:p w14:paraId="3D4C7DC8" w14:textId="67E0092A" w:rsidR="00B769A6" w:rsidRPr="00167BE3" w:rsidRDefault="00BA5E8A" w:rsidP="002270CF">
            <w:pPr>
              <w:jc w:val="right"/>
            </w:pPr>
            <w:r w:rsidRPr="00167BE3">
              <w:t>1.</w:t>
            </w:r>
            <w:r w:rsidR="003A290F">
              <w:t>75</w:t>
            </w:r>
            <w:r w:rsidRPr="00167BE3">
              <w:t>–4.0</w:t>
            </w:r>
          </w:p>
        </w:tc>
      </w:tr>
      <w:tr w:rsidR="00B769A6" w:rsidRPr="003879D7" w14:paraId="1F8A9BAD" w14:textId="77777777" w:rsidTr="00E74FFD">
        <w:trPr>
          <w:trHeight w:hRule="exact" w:val="288"/>
        </w:trPr>
        <w:tc>
          <w:tcPr>
            <w:tcW w:w="1575" w:type="pct"/>
            <w:tcBorders>
              <w:bottom w:val="single" w:sz="4" w:space="0" w:color="auto"/>
            </w:tcBorders>
          </w:tcPr>
          <w:p w14:paraId="2D9C5211" w14:textId="5307AB42" w:rsidR="00B769A6" w:rsidRPr="003879D7" w:rsidRDefault="003A290F" w:rsidP="002D0DF8">
            <w:r>
              <w:t xml:space="preserve">Post-June </w:t>
            </w:r>
            <w:r w:rsidR="00B769A6" w:rsidRPr="003879D7">
              <w:t xml:space="preserve">Harvest Estimate </w:t>
            </w:r>
          </w:p>
        </w:tc>
        <w:tc>
          <w:tcPr>
            <w:tcW w:w="1317" w:type="pct"/>
            <w:tcBorders>
              <w:bottom w:val="single" w:sz="4" w:space="0" w:color="auto"/>
            </w:tcBorders>
            <w:vAlign w:val="bottom"/>
          </w:tcPr>
          <w:p w14:paraId="61051377" w14:textId="755CAF42" w:rsidR="00B769A6" w:rsidRPr="00167BE3" w:rsidRDefault="00D13FDB" w:rsidP="000B53BF">
            <w:pPr>
              <w:jc w:val="right"/>
            </w:pPr>
            <w:r>
              <w:t>0</w:t>
            </w:r>
            <w:r w:rsidR="00DF4D1B">
              <w:t>.45</w:t>
            </w:r>
          </w:p>
        </w:tc>
        <w:tc>
          <w:tcPr>
            <w:tcW w:w="2108" w:type="pct"/>
            <w:tcBorders>
              <w:bottom w:val="single" w:sz="4" w:space="0" w:color="auto"/>
            </w:tcBorders>
            <w:vAlign w:val="bottom"/>
          </w:tcPr>
          <w:p w14:paraId="1AC8AC67" w14:textId="787DB325" w:rsidR="00B769A6" w:rsidRPr="00167BE3" w:rsidRDefault="00F0047D" w:rsidP="00B54D6F">
            <w:pPr>
              <w:jc w:val="right"/>
            </w:pPr>
            <w:r>
              <w:t>0</w:t>
            </w:r>
            <w:r w:rsidR="008B183B" w:rsidRPr="00167BE3">
              <w:t>–</w:t>
            </w:r>
            <w:r w:rsidR="00DF4D1B">
              <w:t>3.8</w:t>
            </w:r>
          </w:p>
        </w:tc>
      </w:tr>
    </w:tbl>
    <w:p w14:paraId="2382EE6D" w14:textId="06B050AD" w:rsidR="00B769A6" w:rsidRDefault="00B769A6" w:rsidP="00B769A6">
      <w:pPr>
        <w:tabs>
          <w:tab w:val="center" w:pos="4320"/>
          <w:tab w:val="right" w:pos="8640"/>
        </w:tabs>
        <w:suppressAutoHyphens/>
        <w:spacing w:after="0"/>
        <w:ind w:left="187" w:right="720" w:hanging="187"/>
        <w:rPr>
          <w:sz w:val="22"/>
          <w:szCs w:val="22"/>
        </w:rPr>
      </w:pPr>
      <w:r w:rsidRPr="003879D7">
        <w:rPr>
          <w:sz w:val="22"/>
          <w:szCs w:val="22"/>
          <w:vertAlign w:val="superscript"/>
        </w:rPr>
        <w:t>a</w:t>
      </w:r>
      <w:r w:rsidR="00CD582C">
        <w:rPr>
          <w:sz w:val="22"/>
          <w:szCs w:val="22"/>
          <w:vertAlign w:val="superscript"/>
        </w:rPr>
        <w:t xml:space="preserve"> </w:t>
      </w:r>
      <w:r w:rsidR="00DF4D1B">
        <w:rPr>
          <w:sz w:val="22"/>
          <w:szCs w:val="22"/>
          <w:vertAlign w:val="superscript"/>
        </w:rPr>
        <w:t xml:space="preserve"> </w:t>
      </w:r>
      <w:r w:rsidR="00696847">
        <w:rPr>
          <w:sz w:val="20"/>
          <w:szCs w:val="20"/>
        </w:rPr>
        <w:t>P</w:t>
      </w:r>
      <w:r w:rsidR="003A290F">
        <w:rPr>
          <w:sz w:val="20"/>
          <w:szCs w:val="20"/>
        </w:rPr>
        <w:t>ost-June harvest and escapement</w:t>
      </w:r>
      <w:r w:rsidR="00D13FDB">
        <w:rPr>
          <w:sz w:val="20"/>
          <w:szCs w:val="20"/>
        </w:rPr>
        <w:t>.</w:t>
      </w:r>
    </w:p>
    <w:p w14:paraId="0D293194" w14:textId="2AD5CF98" w:rsidR="003A290F" w:rsidRPr="003879D7" w:rsidRDefault="003A290F" w:rsidP="003A290F">
      <w:pPr>
        <w:tabs>
          <w:tab w:val="center" w:pos="4320"/>
          <w:tab w:val="right" w:pos="8640"/>
        </w:tabs>
        <w:suppressAutoHyphens/>
        <w:spacing w:after="0"/>
        <w:ind w:left="187" w:right="720" w:hanging="187"/>
        <w:rPr>
          <w:sz w:val="20"/>
          <w:szCs w:val="20"/>
        </w:rPr>
      </w:pPr>
      <w:r>
        <w:rPr>
          <w:sz w:val="22"/>
          <w:szCs w:val="22"/>
          <w:vertAlign w:val="superscript"/>
        </w:rPr>
        <w:t xml:space="preserve">b </w:t>
      </w:r>
      <w:r w:rsidR="00DF4D1B">
        <w:rPr>
          <w:sz w:val="22"/>
          <w:szCs w:val="22"/>
          <w:vertAlign w:val="superscript"/>
        </w:rPr>
        <w:t xml:space="preserve"> </w:t>
      </w:r>
      <w:r w:rsidRPr="003879D7">
        <w:rPr>
          <w:sz w:val="20"/>
          <w:szCs w:val="20"/>
        </w:rPr>
        <w:t xml:space="preserve">The escapement estimate is the </w:t>
      </w:r>
      <w:r>
        <w:rPr>
          <w:sz w:val="20"/>
          <w:szCs w:val="20"/>
        </w:rPr>
        <w:t>m</w:t>
      </w:r>
      <w:r w:rsidR="00DF4D1B">
        <w:rPr>
          <w:sz w:val="20"/>
          <w:szCs w:val="20"/>
        </w:rPr>
        <w:t>inimum</w:t>
      </w:r>
      <w:r w:rsidRPr="003879D7">
        <w:rPr>
          <w:sz w:val="20"/>
          <w:szCs w:val="20"/>
        </w:rPr>
        <w:t xml:space="preserve"> of the aggregate goal range (</w:t>
      </w:r>
      <w:r>
        <w:rPr>
          <w:sz w:val="20"/>
          <w:szCs w:val="20"/>
        </w:rPr>
        <w:t>1.</w:t>
      </w:r>
      <w:r w:rsidR="00E74FFD">
        <w:rPr>
          <w:sz w:val="20"/>
          <w:szCs w:val="20"/>
        </w:rPr>
        <w:t>75</w:t>
      </w:r>
      <w:r>
        <w:rPr>
          <w:sz w:val="20"/>
          <w:szCs w:val="20"/>
        </w:rPr>
        <w:t>–4.0</w:t>
      </w:r>
      <w:r w:rsidRPr="003879D7">
        <w:rPr>
          <w:sz w:val="20"/>
          <w:szCs w:val="20"/>
        </w:rPr>
        <w:t xml:space="preserve"> million) in 20</w:t>
      </w:r>
      <w:r>
        <w:rPr>
          <w:sz w:val="20"/>
          <w:szCs w:val="20"/>
        </w:rPr>
        <w:t>20</w:t>
      </w:r>
      <w:r w:rsidRPr="003879D7">
        <w:rPr>
          <w:sz w:val="22"/>
          <w:szCs w:val="22"/>
        </w:rPr>
        <w:t>.</w:t>
      </w:r>
    </w:p>
    <w:p w14:paraId="13972345" w14:textId="2830BA93" w:rsidR="004141ED" w:rsidRPr="003879D7" w:rsidRDefault="00B769A6" w:rsidP="004141ED">
      <w:pPr>
        <w:spacing w:before="240"/>
      </w:pPr>
      <w:r w:rsidRPr="008B183B">
        <w:t>The 20</w:t>
      </w:r>
      <w:r w:rsidR="00696847">
        <w:t>20</w:t>
      </w:r>
      <w:r w:rsidRPr="008B183B">
        <w:t xml:space="preserve"> South Alaska Peninsula predicted pink salmon harvest is expected to be in the </w:t>
      </w:r>
      <w:r w:rsidR="00163EC5">
        <w:rPr>
          <w:i/>
        </w:rPr>
        <w:t>poor</w:t>
      </w:r>
      <w:r w:rsidR="00163EC5" w:rsidRPr="00BE1D92">
        <w:t xml:space="preserve"> </w:t>
      </w:r>
      <w:r w:rsidRPr="003879D7">
        <w:t xml:space="preserve">category with a point estimate </w:t>
      </w:r>
      <w:r w:rsidRPr="00FC6553">
        <w:t xml:space="preserve">of </w:t>
      </w:r>
      <w:r w:rsidR="00163EC5">
        <w:t>0.45</w:t>
      </w:r>
      <w:r w:rsidRPr="008B183B">
        <w:t xml:space="preserve"> </w:t>
      </w:r>
      <w:r w:rsidR="00957D4B" w:rsidRPr="008B183B">
        <w:t>(</w:t>
      </w:r>
      <w:r w:rsidR="00163EC5">
        <w:t>less than 2.0</w:t>
      </w:r>
      <w:r w:rsidRPr="008B183B">
        <w:t>)</w:t>
      </w:r>
      <w:r w:rsidRPr="00FC6553">
        <w:t xml:space="preserve"> </w:t>
      </w:r>
      <w:r w:rsidRPr="003879D7">
        <w:t xml:space="preserve">million fish. Harvest categories were </w:t>
      </w:r>
      <w:r w:rsidR="008B183B">
        <w:t>calculated</w:t>
      </w:r>
      <w:r w:rsidRPr="003879D7">
        <w:t xml:space="preserve"> from the 20</w:t>
      </w:r>
      <w:r w:rsidRPr="003879D7">
        <w:rPr>
          <w:vertAlign w:val="superscript"/>
        </w:rPr>
        <w:t>th</w:t>
      </w:r>
      <w:r w:rsidRPr="003879D7">
        <w:t>, 40</w:t>
      </w:r>
      <w:r w:rsidRPr="003879D7">
        <w:rPr>
          <w:vertAlign w:val="superscript"/>
        </w:rPr>
        <w:t>th</w:t>
      </w:r>
      <w:r w:rsidRPr="003879D7">
        <w:t>, 60</w:t>
      </w:r>
      <w:r w:rsidRPr="003879D7">
        <w:rPr>
          <w:vertAlign w:val="superscript"/>
        </w:rPr>
        <w:t>th</w:t>
      </w:r>
      <w:r w:rsidRPr="003879D7">
        <w:t>, and 80</w:t>
      </w:r>
      <w:r w:rsidRPr="003879D7">
        <w:rPr>
          <w:vertAlign w:val="superscript"/>
        </w:rPr>
        <w:t>th</w:t>
      </w:r>
      <w:r w:rsidRPr="003879D7">
        <w:t xml:space="preserve"> percentiles of historical </w:t>
      </w:r>
      <w:r w:rsidR="006149A3">
        <w:t xml:space="preserve">post-June </w:t>
      </w:r>
      <w:r w:rsidRPr="003879D7">
        <w:t xml:space="preserve">commercial harvest on the South Alaska Peninsula from </w:t>
      </w:r>
      <w:r w:rsidRPr="00E73F58">
        <w:t>19</w:t>
      </w:r>
      <w:r w:rsidR="00E73F58" w:rsidRPr="00E73F58">
        <w:t>8</w:t>
      </w:r>
      <w:r w:rsidR="003A290F">
        <w:t>0</w:t>
      </w:r>
      <w:r w:rsidRPr="00E73F58">
        <w:t xml:space="preserve"> to </w:t>
      </w:r>
      <w:r w:rsidR="008302B4" w:rsidRPr="00E73F58">
        <w:t>201</w:t>
      </w:r>
      <w:r w:rsidR="003A290F">
        <w:t>9</w:t>
      </w:r>
      <w:r w:rsidRPr="00605E50">
        <w:t>.</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3121"/>
        <w:gridCol w:w="3209"/>
        <w:gridCol w:w="2940"/>
      </w:tblGrid>
      <w:tr w:rsidR="00B769A6" w:rsidRPr="00605E50" w14:paraId="3E8225B3" w14:textId="77777777" w:rsidTr="00FF7B1A">
        <w:trPr>
          <w:trHeight w:val="252"/>
        </w:trPr>
        <w:tc>
          <w:tcPr>
            <w:tcW w:w="1683" w:type="pct"/>
            <w:tcBorders>
              <w:top w:val="single" w:sz="4" w:space="0" w:color="auto"/>
              <w:bottom w:val="single" w:sz="4" w:space="0" w:color="auto"/>
              <w:right w:val="nil"/>
            </w:tcBorders>
            <w:shd w:val="clear" w:color="auto" w:fill="auto"/>
          </w:tcPr>
          <w:p w14:paraId="5089FDDD" w14:textId="77777777" w:rsidR="00B769A6" w:rsidRPr="00605E50" w:rsidRDefault="00B769A6" w:rsidP="002D0DF8">
            <w:pPr>
              <w:spacing w:after="0"/>
            </w:pPr>
            <w:r w:rsidRPr="00605E50">
              <w:t>S. Pen Harvest Category</w:t>
            </w:r>
          </w:p>
        </w:tc>
        <w:tc>
          <w:tcPr>
            <w:tcW w:w="1731" w:type="pct"/>
            <w:tcBorders>
              <w:top w:val="single" w:sz="4" w:space="0" w:color="auto"/>
              <w:bottom w:val="single" w:sz="4" w:space="0" w:color="auto"/>
            </w:tcBorders>
            <w:shd w:val="clear" w:color="auto" w:fill="auto"/>
          </w:tcPr>
          <w:p w14:paraId="58DCDDE7" w14:textId="77777777" w:rsidR="00B769A6" w:rsidRPr="00605E50" w:rsidRDefault="00B769A6" w:rsidP="002D0DF8">
            <w:pPr>
              <w:spacing w:after="0"/>
            </w:pPr>
            <w:r w:rsidRPr="00605E50">
              <w:t>Range (millions)</w:t>
            </w:r>
          </w:p>
        </w:tc>
        <w:tc>
          <w:tcPr>
            <w:tcW w:w="1587" w:type="pct"/>
            <w:tcBorders>
              <w:top w:val="single" w:sz="4" w:space="0" w:color="auto"/>
              <w:left w:val="nil"/>
              <w:bottom w:val="single" w:sz="4" w:space="0" w:color="auto"/>
              <w:right w:val="nil"/>
            </w:tcBorders>
            <w:shd w:val="clear" w:color="auto" w:fill="auto"/>
          </w:tcPr>
          <w:p w14:paraId="2C39BFDC" w14:textId="77777777" w:rsidR="00B769A6" w:rsidRPr="00605E50" w:rsidRDefault="00B769A6" w:rsidP="002D0DF8">
            <w:pPr>
              <w:spacing w:after="0"/>
            </w:pPr>
            <w:r w:rsidRPr="00605E50">
              <w:t>Percentile</w:t>
            </w:r>
          </w:p>
        </w:tc>
      </w:tr>
      <w:tr w:rsidR="00B769A6" w:rsidRPr="003879D7" w14:paraId="14B7BAC5" w14:textId="77777777" w:rsidTr="00FF7B1A">
        <w:trPr>
          <w:trHeight w:val="1260"/>
        </w:trPr>
        <w:tc>
          <w:tcPr>
            <w:tcW w:w="1683" w:type="pct"/>
            <w:tcBorders>
              <w:top w:val="single" w:sz="4" w:space="0" w:color="auto"/>
              <w:bottom w:val="single" w:sz="4" w:space="0" w:color="auto"/>
              <w:right w:val="nil"/>
            </w:tcBorders>
            <w:shd w:val="clear" w:color="auto" w:fill="auto"/>
          </w:tcPr>
          <w:p w14:paraId="21ED2882" w14:textId="77777777" w:rsidR="00B769A6" w:rsidRPr="00FC6553" w:rsidRDefault="00B769A6" w:rsidP="002D0DF8">
            <w:pPr>
              <w:spacing w:after="0"/>
              <w:rPr>
                <w:i/>
              </w:rPr>
            </w:pPr>
            <w:r w:rsidRPr="00FC6553">
              <w:rPr>
                <w:i/>
              </w:rPr>
              <w:t>Poor</w:t>
            </w:r>
          </w:p>
          <w:p w14:paraId="2237CCF5" w14:textId="77777777" w:rsidR="00B769A6" w:rsidRPr="00FC6553" w:rsidRDefault="00B769A6" w:rsidP="002D0DF8">
            <w:pPr>
              <w:spacing w:after="0"/>
              <w:rPr>
                <w:i/>
              </w:rPr>
            </w:pPr>
            <w:r w:rsidRPr="00FC6553">
              <w:rPr>
                <w:i/>
              </w:rPr>
              <w:t>Weak</w:t>
            </w:r>
          </w:p>
          <w:p w14:paraId="51BEA2A7" w14:textId="77777777" w:rsidR="00B769A6" w:rsidRPr="00FC6553" w:rsidRDefault="00B769A6" w:rsidP="002D0DF8">
            <w:pPr>
              <w:spacing w:after="0"/>
              <w:rPr>
                <w:i/>
              </w:rPr>
            </w:pPr>
            <w:r w:rsidRPr="00FC6553">
              <w:rPr>
                <w:i/>
              </w:rPr>
              <w:t>Average</w:t>
            </w:r>
          </w:p>
          <w:p w14:paraId="1972BDBB" w14:textId="77777777" w:rsidR="00B769A6" w:rsidRPr="00FC6553" w:rsidRDefault="00B769A6" w:rsidP="002D0DF8">
            <w:pPr>
              <w:spacing w:after="0"/>
              <w:rPr>
                <w:i/>
              </w:rPr>
            </w:pPr>
            <w:r w:rsidRPr="00FC6553">
              <w:rPr>
                <w:i/>
              </w:rPr>
              <w:t>Strong</w:t>
            </w:r>
          </w:p>
          <w:p w14:paraId="61E57956" w14:textId="77777777" w:rsidR="00B769A6" w:rsidRPr="00FC6553" w:rsidRDefault="00B769A6" w:rsidP="002D0DF8">
            <w:pPr>
              <w:spacing w:after="0"/>
            </w:pPr>
            <w:r w:rsidRPr="00FC6553">
              <w:rPr>
                <w:i/>
              </w:rPr>
              <w:t>Excellent</w:t>
            </w:r>
          </w:p>
        </w:tc>
        <w:tc>
          <w:tcPr>
            <w:tcW w:w="1731" w:type="pct"/>
            <w:tcBorders>
              <w:top w:val="single" w:sz="4" w:space="0" w:color="auto"/>
              <w:bottom w:val="single" w:sz="4" w:space="0" w:color="auto"/>
            </w:tcBorders>
            <w:shd w:val="clear" w:color="auto" w:fill="auto"/>
          </w:tcPr>
          <w:p w14:paraId="3B6CC03E" w14:textId="3639DE63" w:rsidR="00B769A6" w:rsidRPr="00FC6553" w:rsidRDefault="00B769A6" w:rsidP="002D0DF8">
            <w:pPr>
              <w:spacing w:after="0"/>
            </w:pPr>
            <w:r w:rsidRPr="00FC6553">
              <w:t>Less than 2.</w:t>
            </w:r>
            <w:r w:rsidR="003A290F">
              <w:t>0</w:t>
            </w:r>
          </w:p>
          <w:p w14:paraId="5617E8DB" w14:textId="4C3FB3C4" w:rsidR="00B769A6" w:rsidRPr="00FC6553" w:rsidRDefault="00B769A6" w:rsidP="002D0DF8">
            <w:pPr>
              <w:spacing w:after="0"/>
            </w:pPr>
            <w:r w:rsidRPr="00FC6553">
              <w:t>2.</w:t>
            </w:r>
            <w:r w:rsidR="007C5E2B">
              <w:t>0</w:t>
            </w:r>
            <w:r w:rsidR="00E73F58" w:rsidRPr="00FC6553">
              <w:t xml:space="preserve"> </w:t>
            </w:r>
            <w:r w:rsidRPr="00FC6553">
              <w:t>to 4.</w:t>
            </w:r>
            <w:r w:rsidR="003A290F">
              <w:t>2</w:t>
            </w:r>
          </w:p>
          <w:p w14:paraId="6E4D0DB2" w14:textId="334FF1C7" w:rsidR="00B769A6" w:rsidRPr="00FC6553" w:rsidRDefault="00B769A6" w:rsidP="002D0DF8">
            <w:pPr>
              <w:spacing w:after="0"/>
            </w:pPr>
            <w:r w:rsidRPr="00FC6553">
              <w:t>4.</w:t>
            </w:r>
            <w:r w:rsidR="007C5E2B">
              <w:t>2</w:t>
            </w:r>
            <w:r w:rsidRPr="00FC6553">
              <w:t xml:space="preserve"> to </w:t>
            </w:r>
            <w:r w:rsidR="003A290F">
              <w:t>6.7</w:t>
            </w:r>
          </w:p>
          <w:p w14:paraId="1D135456" w14:textId="69FFDF39" w:rsidR="00B769A6" w:rsidRPr="00FC6553" w:rsidRDefault="003A290F" w:rsidP="002D0DF8">
            <w:pPr>
              <w:spacing w:after="0"/>
            </w:pPr>
            <w:r>
              <w:t>6.</w:t>
            </w:r>
            <w:r w:rsidR="007C5E2B">
              <w:t>7</w:t>
            </w:r>
            <w:r w:rsidR="00783AED" w:rsidRPr="00FC6553">
              <w:t xml:space="preserve"> </w:t>
            </w:r>
            <w:r w:rsidR="00B769A6" w:rsidRPr="00FC6553">
              <w:t>to 9.</w:t>
            </w:r>
            <w:r>
              <w:t>3</w:t>
            </w:r>
          </w:p>
          <w:p w14:paraId="099725A9" w14:textId="2583E6C7" w:rsidR="00B769A6" w:rsidRPr="00FC6553" w:rsidRDefault="00B769A6" w:rsidP="00783AED">
            <w:pPr>
              <w:spacing w:after="0"/>
            </w:pPr>
            <w:r w:rsidRPr="00FC6553">
              <w:t>Greater than 9.</w:t>
            </w:r>
            <w:r w:rsidR="007C5E2B">
              <w:t>3</w:t>
            </w:r>
          </w:p>
        </w:tc>
        <w:tc>
          <w:tcPr>
            <w:tcW w:w="1587" w:type="pct"/>
            <w:tcBorders>
              <w:top w:val="single" w:sz="4" w:space="0" w:color="auto"/>
              <w:left w:val="nil"/>
              <w:bottom w:val="single" w:sz="4" w:space="0" w:color="auto"/>
              <w:right w:val="nil"/>
            </w:tcBorders>
            <w:shd w:val="clear" w:color="auto" w:fill="auto"/>
          </w:tcPr>
          <w:p w14:paraId="068C83A3" w14:textId="77777777" w:rsidR="00B769A6" w:rsidRPr="00FC6553" w:rsidRDefault="00B769A6" w:rsidP="002D0DF8">
            <w:pPr>
              <w:spacing w:after="0"/>
            </w:pPr>
            <w:r w:rsidRPr="00FC6553">
              <w:t>Less than 20</w:t>
            </w:r>
            <w:r w:rsidRPr="00FC6553">
              <w:rPr>
                <w:vertAlign w:val="superscript"/>
              </w:rPr>
              <w:t>th</w:t>
            </w:r>
          </w:p>
          <w:p w14:paraId="57A2C361" w14:textId="7AB52FBE" w:rsidR="00B769A6" w:rsidRPr="00FC6553" w:rsidRDefault="00B769A6" w:rsidP="002D0DF8">
            <w:pPr>
              <w:spacing w:after="0"/>
            </w:pPr>
            <w:r w:rsidRPr="00FC6553">
              <w:t>2</w:t>
            </w:r>
            <w:r w:rsidR="007C5E2B">
              <w:t>0</w:t>
            </w:r>
            <w:r w:rsidR="007C5E2B" w:rsidRPr="007C5E2B">
              <w:rPr>
                <w:vertAlign w:val="superscript"/>
              </w:rPr>
              <w:t>th</w:t>
            </w:r>
            <w:r w:rsidR="007C5E2B">
              <w:t xml:space="preserve"> </w:t>
            </w:r>
            <w:r w:rsidRPr="00FC6553">
              <w:t>to 40</w:t>
            </w:r>
            <w:r w:rsidRPr="00FC6553">
              <w:rPr>
                <w:vertAlign w:val="superscript"/>
              </w:rPr>
              <w:t>th</w:t>
            </w:r>
            <w:r w:rsidRPr="00FC6553">
              <w:t xml:space="preserve"> </w:t>
            </w:r>
          </w:p>
          <w:p w14:paraId="1A2E3ECD" w14:textId="33E21A76" w:rsidR="00B769A6" w:rsidRPr="00FC6553" w:rsidRDefault="007C5E2B" w:rsidP="002D0DF8">
            <w:pPr>
              <w:spacing w:after="0"/>
            </w:pPr>
            <w:r w:rsidRPr="00FC6553">
              <w:t>40</w:t>
            </w:r>
            <w:r w:rsidRPr="00FC6553">
              <w:rPr>
                <w:vertAlign w:val="superscript"/>
              </w:rPr>
              <w:t>th</w:t>
            </w:r>
            <w:r w:rsidR="00B769A6" w:rsidRPr="00FC6553">
              <w:t xml:space="preserve"> to 60</w:t>
            </w:r>
            <w:r w:rsidR="00B769A6" w:rsidRPr="00FC6553">
              <w:rPr>
                <w:vertAlign w:val="superscript"/>
              </w:rPr>
              <w:t>th</w:t>
            </w:r>
          </w:p>
          <w:p w14:paraId="7B2BFAC9" w14:textId="0AA10087" w:rsidR="00B769A6" w:rsidRPr="00FC6553" w:rsidRDefault="007C5E2B" w:rsidP="002D0DF8">
            <w:pPr>
              <w:spacing w:after="0"/>
            </w:pPr>
            <w:r w:rsidRPr="00FC6553">
              <w:t>60</w:t>
            </w:r>
            <w:r w:rsidRPr="00FC6553">
              <w:rPr>
                <w:vertAlign w:val="superscript"/>
              </w:rPr>
              <w:t>th</w:t>
            </w:r>
            <w:r w:rsidR="00B769A6" w:rsidRPr="00FC6553">
              <w:t xml:space="preserve"> to 80</w:t>
            </w:r>
            <w:r w:rsidR="00B769A6" w:rsidRPr="00FC6553">
              <w:rPr>
                <w:vertAlign w:val="superscript"/>
              </w:rPr>
              <w:t>th</w:t>
            </w:r>
          </w:p>
          <w:p w14:paraId="6140F9B0" w14:textId="0FBD0B84" w:rsidR="00B769A6" w:rsidRPr="00FC6553" w:rsidRDefault="007C5E2B" w:rsidP="002D0DF8">
            <w:pPr>
              <w:spacing w:after="0"/>
            </w:pPr>
            <w:r w:rsidRPr="00FC6553">
              <w:t>80</w:t>
            </w:r>
            <w:r w:rsidRPr="00FC6553">
              <w:rPr>
                <w:vertAlign w:val="superscript"/>
              </w:rPr>
              <w:t>th</w:t>
            </w:r>
            <w:r w:rsidR="00B769A6" w:rsidRPr="00FC6553">
              <w:t xml:space="preserve"> to 100</w:t>
            </w:r>
            <w:r w:rsidR="00B769A6" w:rsidRPr="00FC6553">
              <w:rPr>
                <w:vertAlign w:val="superscript"/>
              </w:rPr>
              <w:t>th</w:t>
            </w:r>
          </w:p>
        </w:tc>
      </w:tr>
    </w:tbl>
    <w:p w14:paraId="6B90E0A0" w14:textId="77777777" w:rsidR="00B769A6" w:rsidRPr="003879D7" w:rsidRDefault="00B769A6" w:rsidP="00B769A6">
      <w:pPr>
        <w:keepNext/>
        <w:spacing w:before="120"/>
        <w:jc w:val="left"/>
        <w:outlineLvl w:val="3"/>
        <w:rPr>
          <w:rFonts w:ascii="Times New Roman Bold" w:hAnsi="Times New Roman Bold"/>
          <w:b/>
          <w:bCs/>
        </w:rPr>
      </w:pPr>
      <w:r w:rsidRPr="003879D7">
        <w:rPr>
          <w:rFonts w:ascii="Times New Roman Bold" w:hAnsi="Times New Roman Bold"/>
          <w:b/>
          <w:bCs/>
        </w:rPr>
        <w:t>Forecast Methods</w:t>
      </w:r>
    </w:p>
    <w:p w14:paraId="30063DEE" w14:textId="5C5A13A4" w:rsidR="00B769A6" w:rsidRDefault="00B769A6" w:rsidP="00B769A6">
      <w:r w:rsidRPr="003879D7">
        <w:t xml:space="preserve">The </w:t>
      </w:r>
      <w:r w:rsidR="00E74FFD">
        <w:t xml:space="preserve">2020 </w:t>
      </w:r>
      <w:r w:rsidRPr="003879D7">
        <w:t xml:space="preserve">South Alaska Peninsula pink salmon harvest forecast is derived from a total run forecast minus the </w:t>
      </w:r>
      <w:r w:rsidR="00E74FFD">
        <w:t>minimum</w:t>
      </w:r>
      <w:r w:rsidR="00E74FFD" w:rsidRPr="003879D7">
        <w:t xml:space="preserve"> </w:t>
      </w:r>
      <w:r w:rsidRPr="00167BE3">
        <w:t>(</w:t>
      </w:r>
      <w:r w:rsidR="00E74FFD">
        <w:t>1.75</w:t>
      </w:r>
      <w:r w:rsidRPr="00167BE3">
        <w:t xml:space="preserve"> million fish) </w:t>
      </w:r>
      <w:r w:rsidRPr="003879D7">
        <w:t xml:space="preserve">of the </w:t>
      </w:r>
      <w:r w:rsidR="00167BE3">
        <w:t xml:space="preserve">combined even- and </w:t>
      </w:r>
      <w:r w:rsidR="00B15F63">
        <w:t>odd</w:t>
      </w:r>
      <w:r w:rsidRPr="003879D7">
        <w:t>-year South Alaska Peninsula escapement goal range</w:t>
      </w:r>
      <w:r>
        <w:t>. The total run was forecasted with a</w:t>
      </w:r>
      <w:r w:rsidR="00E74FFD">
        <w:t xml:space="preserve"> simple</w:t>
      </w:r>
      <w:r>
        <w:t xml:space="preserve"> </w:t>
      </w:r>
      <w:r w:rsidR="007933F7">
        <w:t>exponential smoothing</w:t>
      </w:r>
      <w:r w:rsidR="00A91E29">
        <w:t xml:space="preserve"> model</w:t>
      </w:r>
      <w:r w:rsidRPr="008B183B">
        <w:t xml:space="preserve"> fit to </w:t>
      </w:r>
      <w:r w:rsidR="007933F7">
        <w:t>even</w:t>
      </w:r>
      <w:r w:rsidR="008B183B" w:rsidRPr="008B183B">
        <w:t>-year</w:t>
      </w:r>
      <w:r w:rsidRPr="008B183B">
        <w:t xml:space="preserve"> South </w:t>
      </w:r>
      <w:r w:rsidR="00696847">
        <w:t xml:space="preserve">Alaska </w:t>
      </w:r>
      <w:r w:rsidRPr="008B183B">
        <w:t>Peninsula pink salmon returns from 19</w:t>
      </w:r>
      <w:r w:rsidR="00AE2BA8">
        <w:t>64</w:t>
      </w:r>
      <w:r w:rsidR="008B183B" w:rsidRPr="008B183B">
        <w:t xml:space="preserve"> through</w:t>
      </w:r>
      <w:r w:rsidRPr="008B183B">
        <w:t xml:space="preserve"> 201</w:t>
      </w:r>
      <w:r w:rsidR="00E74FFD">
        <w:t>8</w:t>
      </w:r>
      <w:r w:rsidRPr="008B183B">
        <w:t>.</w:t>
      </w:r>
    </w:p>
    <w:p w14:paraId="7A82AB33" w14:textId="77777777" w:rsidR="00B769A6" w:rsidRPr="003879D7" w:rsidRDefault="00B769A6" w:rsidP="00B769A6">
      <w:pPr>
        <w:keepNext/>
        <w:spacing w:before="120"/>
        <w:jc w:val="left"/>
        <w:outlineLvl w:val="3"/>
        <w:rPr>
          <w:rFonts w:ascii="Times New Roman Bold" w:hAnsi="Times New Roman Bold"/>
          <w:b/>
          <w:bCs/>
        </w:rPr>
      </w:pPr>
      <w:r w:rsidRPr="003879D7">
        <w:rPr>
          <w:rFonts w:ascii="Times New Roman Bold" w:hAnsi="Times New Roman Bold"/>
          <w:b/>
          <w:bCs/>
        </w:rPr>
        <w:t>Forecast Discussion</w:t>
      </w:r>
    </w:p>
    <w:p w14:paraId="7BCEF8AA" w14:textId="06279C18" w:rsidR="00C524C2" w:rsidRDefault="00C524C2" w:rsidP="00C524C2">
      <w:r>
        <w:t>June harvest of pink salmon has been omitted from the South Alaska Peninsula aggregate pink salmon forecast due to the variability of pink salmon harvest that occurs during the June fishery and the origin of these fish are unknown. The 5-year even-year average harvest of pink salmon in June is 726,</w:t>
      </w:r>
      <w:r w:rsidR="00475CAD">
        <w:t xml:space="preserve">000 </w:t>
      </w:r>
      <w:r>
        <w:t xml:space="preserve">fish. </w:t>
      </w:r>
    </w:p>
    <w:p w14:paraId="5AC63EF8" w14:textId="6E9E3A26" w:rsidR="00520481" w:rsidRDefault="00B769A6" w:rsidP="00C04912">
      <w:r w:rsidRPr="003879D7">
        <w:t xml:space="preserve">The </w:t>
      </w:r>
      <w:r w:rsidR="00163EC5" w:rsidRPr="003879D7">
        <w:t>20</w:t>
      </w:r>
      <w:r w:rsidR="00163EC5">
        <w:t>20</w:t>
      </w:r>
      <w:r w:rsidR="00163EC5" w:rsidRPr="003879D7">
        <w:t xml:space="preserve"> </w:t>
      </w:r>
      <w:r w:rsidRPr="003879D7">
        <w:t>South Alaska</w:t>
      </w:r>
      <w:r>
        <w:t xml:space="preserve"> Peninsula pink salmon </w:t>
      </w:r>
      <w:r w:rsidR="00C524C2">
        <w:t xml:space="preserve">post-June </w:t>
      </w:r>
      <w:r>
        <w:t>harvest</w:t>
      </w:r>
      <w:r w:rsidRPr="003879D7">
        <w:t xml:space="preserve"> (</w:t>
      </w:r>
      <w:r w:rsidR="00163EC5">
        <w:t>0.45</w:t>
      </w:r>
      <w:r w:rsidRPr="008B183B">
        <w:t xml:space="preserve"> million fish) is </w:t>
      </w:r>
      <w:r w:rsidR="002D0DF8" w:rsidRPr="008B183B">
        <w:t xml:space="preserve">predicted </w:t>
      </w:r>
      <w:r w:rsidRPr="008B183B">
        <w:t xml:space="preserve">to be </w:t>
      </w:r>
      <w:r w:rsidR="00FF7B1A">
        <w:t>poor</w:t>
      </w:r>
      <w:r w:rsidR="00DC6946">
        <w:t xml:space="preserve"> due to the low return that occurred in 2018.</w:t>
      </w:r>
      <w:r w:rsidRPr="008B183B">
        <w:t xml:space="preserve"> </w:t>
      </w:r>
      <w:r w:rsidR="00475CAD">
        <w:t>The pink salmon escapement estimate of 732,000 fish was below the minimum escapement goal of 1.75 million fish and below the 5-year even-year average of 867,000 fish</w:t>
      </w:r>
      <w:r w:rsidR="00520481">
        <w:t>.</w:t>
      </w:r>
      <w:r w:rsidR="00520481" w:rsidRPr="00520481">
        <w:t xml:space="preserve"> </w:t>
      </w:r>
      <w:r w:rsidR="00880644">
        <w:t>The weather during the 2018 season was exc</w:t>
      </w:r>
      <w:r w:rsidR="00DC6946">
        <w:t xml:space="preserve">eptionally poor for aerial surveys and many streams were surveyed only once during the season. </w:t>
      </w:r>
      <w:r w:rsidR="00520481">
        <w:t>Due to</w:t>
      </w:r>
      <w:r w:rsidR="00DC6946">
        <w:t xml:space="preserve"> </w:t>
      </w:r>
      <w:r w:rsidR="00D07215">
        <w:t xml:space="preserve">overall </w:t>
      </w:r>
      <w:r w:rsidR="00DC6946">
        <w:t>reduced survey time, the peak of the run may not have been captured</w:t>
      </w:r>
      <w:r w:rsidR="00520481">
        <w:t>, however, the total run</w:t>
      </w:r>
      <w:r w:rsidR="00CC47BE">
        <w:t xml:space="preserve"> in 2018 </w:t>
      </w:r>
      <w:r w:rsidR="004141ED">
        <w:t>wa</w:t>
      </w:r>
      <w:r w:rsidR="00CC47BE">
        <w:t xml:space="preserve">s still estimated to be low. </w:t>
      </w:r>
    </w:p>
    <w:p w14:paraId="287686CA" w14:textId="7E7D3A73" w:rsidR="00DC2D0D" w:rsidRDefault="004141ED" w:rsidP="00C04912">
      <w:r>
        <w:t>T</w:t>
      </w:r>
      <w:bookmarkStart w:id="0" w:name="_GoBack"/>
      <w:bookmarkEnd w:id="0"/>
      <w:r w:rsidR="005C784D">
        <w:t xml:space="preserve">he pink salmon that returned in 2018 had ample rainfall to facilitate escapement and provide adequate spawning habitat, however, ocean conditions encountered by the fish returning in 2020 are unknown. </w:t>
      </w:r>
      <w:r w:rsidR="004F2617" w:rsidRPr="00D828B8">
        <w:t>Th</w:t>
      </w:r>
      <w:r w:rsidR="004F2617">
        <w:t>is year’s</w:t>
      </w:r>
      <w:r w:rsidR="004F2617" w:rsidRPr="00D828B8">
        <w:t xml:space="preserve"> </w:t>
      </w:r>
      <w:r w:rsidR="004F2617">
        <w:t xml:space="preserve">forecasting </w:t>
      </w:r>
      <w:r w:rsidR="004F2617" w:rsidRPr="00D828B8">
        <w:t xml:space="preserve">model does not take into consideration environmental factors. </w:t>
      </w:r>
      <w:r w:rsidR="00D62D17">
        <w:t xml:space="preserve">Changing ocean conditions and recent years’ average temperatures have been outside the </w:t>
      </w:r>
      <w:r w:rsidR="00D62D17">
        <w:lastRenderedPageBreak/>
        <w:t>ranges in the historical dataset; therefore, the predictive power has been diminished</w:t>
      </w:r>
      <w:r w:rsidR="004F2617">
        <w:t xml:space="preserve"> for formerly used forecasting methods that used environmental data</w:t>
      </w:r>
      <w:r w:rsidR="00D62D17">
        <w:t xml:space="preserve">. </w:t>
      </w:r>
    </w:p>
    <w:p w14:paraId="01EEB845" w14:textId="192A6234" w:rsidR="008C6406" w:rsidRDefault="00582D2B" w:rsidP="00BF7080">
      <w:r>
        <w:t>The 2020</w:t>
      </w:r>
      <w:r w:rsidR="00CB30D7">
        <w:t xml:space="preserve"> forecast utilizes a</w:t>
      </w:r>
      <w:r w:rsidR="00DC2D0D" w:rsidRPr="00DC2D0D">
        <w:t xml:space="preserve"> </w:t>
      </w:r>
      <w:r w:rsidR="00DC2D0D">
        <w:t>s</w:t>
      </w:r>
      <w:r w:rsidR="00DC2D0D" w:rsidRPr="00DC2D0D">
        <w:t xml:space="preserve">imple </w:t>
      </w:r>
      <w:r w:rsidR="00DC2D0D">
        <w:t>e</w:t>
      </w:r>
      <w:r w:rsidR="00DC2D0D" w:rsidRPr="00DC2D0D">
        <w:t xml:space="preserve">xponential </w:t>
      </w:r>
      <w:r w:rsidR="00DC2D0D">
        <w:t>s</w:t>
      </w:r>
      <w:r w:rsidR="00DC2D0D" w:rsidRPr="00DC2D0D">
        <w:t xml:space="preserve">moothing </w:t>
      </w:r>
      <w:r w:rsidR="00DC2D0D">
        <w:t>model</w:t>
      </w:r>
      <w:r w:rsidR="00CB30D7">
        <w:t>, which</w:t>
      </w:r>
      <w:r w:rsidR="00DC2D0D">
        <w:t xml:space="preserve"> </w:t>
      </w:r>
      <w:r w:rsidR="00DC2D0D" w:rsidRPr="00DC2D0D">
        <w:t xml:space="preserve">is a time series forecasting method without </w:t>
      </w:r>
      <w:r w:rsidR="00DA32C9">
        <w:t>additional</w:t>
      </w:r>
      <w:r w:rsidR="00DC2D0D" w:rsidRPr="00DC2D0D">
        <w:t xml:space="preserve"> </w:t>
      </w:r>
      <w:r w:rsidR="00DA32C9">
        <w:t xml:space="preserve">parameters to account for underlying </w:t>
      </w:r>
      <w:r w:rsidR="00DC2D0D" w:rsidRPr="00DC2D0D">
        <w:t>trend</w:t>
      </w:r>
      <w:r w:rsidR="00DA32C9">
        <w:t>s</w:t>
      </w:r>
      <w:r w:rsidR="00DC2D0D">
        <w:t>. Models that</w:t>
      </w:r>
      <w:r w:rsidR="00CB30D7">
        <w:t xml:space="preserve"> accounted for underlying </w:t>
      </w:r>
      <w:r w:rsidR="00DC2D0D">
        <w:t>trend</w:t>
      </w:r>
      <w:r w:rsidR="00CB30D7">
        <w:t>s</w:t>
      </w:r>
      <w:r w:rsidR="00DC2D0D">
        <w:t xml:space="preserve"> did not improve the forecast, therefore were not used. </w:t>
      </w:r>
      <w:r w:rsidR="00876396">
        <w:t>A</w:t>
      </w:r>
      <w:r w:rsidR="00BA5E8A">
        <w:t xml:space="preserve">ccounting for uncertainty in changing </w:t>
      </w:r>
      <w:r w:rsidR="00A81E89">
        <w:t>environmental conditions</w:t>
      </w:r>
      <w:r w:rsidR="00876396">
        <w:t xml:space="preserve"> and the model</w:t>
      </w:r>
      <w:r w:rsidR="00BA5E8A">
        <w:t>,</w:t>
      </w:r>
      <w:r w:rsidR="00B769A6" w:rsidRPr="003879D7">
        <w:t xml:space="preserve"> confidence in the forecast is </w:t>
      </w:r>
      <w:r w:rsidR="00F0047D">
        <w:t>fair</w:t>
      </w:r>
      <w:r w:rsidR="00B769A6" w:rsidRPr="003879D7">
        <w:t>.</w:t>
      </w:r>
    </w:p>
    <w:p w14:paraId="3E1FE28B" w14:textId="40A9FEA3" w:rsidR="008C6406" w:rsidRDefault="00C04912" w:rsidP="008C6406">
      <w:pPr>
        <w:pBdr>
          <w:top w:val="single" w:sz="4" w:space="1" w:color="auto"/>
        </w:pBdr>
      </w:pPr>
      <w:r>
        <w:t>Cassandra Whiteside</w:t>
      </w:r>
      <w:r w:rsidR="008C6406" w:rsidRPr="008C6406">
        <w:t>, Alaska Peninsula–Aleutian Islands Asst. Area Management Biologist</w:t>
      </w:r>
    </w:p>
    <w:p w14:paraId="7E673CAE" w14:textId="77777777" w:rsidR="00C04912" w:rsidRPr="008B6C99" w:rsidRDefault="00C04912" w:rsidP="00C04912">
      <w:pPr>
        <w:pBdr>
          <w:top w:val="single" w:sz="4" w:space="1" w:color="auto"/>
        </w:pBdr>
      </w:pPr>
      <w:r>
        <w:t xml:space="preserve">Sarah Power, Commercial Fisheries Biometrician </w:t>
      </w:r>
    </w:p>
    <w:p w14:paraId="6842C02B" w14:textId="64CEA535" w:rsidR="003B6412" w:rsidRPr="008C6406" w:rsidRDefault="003B6412" w:rsidP="00C04912">
      <w:pPr>
        <w:pBdr>
          <w:top w:val="single" w:sz="4" w:space="1" w:color="auto"/>
        </w:pBdr>
        <w:rPr>
          <w:b/>
          <w:u w:val="single"/>
        </w:rPr>
      </w:pPr>
    </w:p>
    <w:sectPr w:rsidR="003B6412" w:rsidRPr="008C6406" w:rsidSect="00536C59">
      <w:pgSz w:w="12240" w:h="15840"/>
      <w:pgMar w:top="1440" w:right="117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A5E1B" w14:textId="77777777" w:rsidR="00B66DD1" w:rsidRDefault="00B66DD1" w:rsidP="004515F6">
      <w:pPr>
        <w:spacing w:after="0"/>
      </w:pPr>
      <w:r>
        <w:separator/>
      </w:r>
    </w:p>
  </w:endnote>
  <w:endnote w:type="continuationSeparator" w:id="0">
    <w:p w14:paraId="1872F543" w14:textId="77777777" w:rsidR="00B66DD1" w:rsidRDefault="00B66DD1" w:rsidP="004515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2203" w14:textId="77777777" w:rsidR="00B66DD1" w:rsidRDefault="00B66DD1" w:rsidP="004515F6">
      <w:pPr>
        <w:spacing w:after="0"/>
      </w:pPr>
      <w:r>
        <w:separator/>
      </w:r>
    </w:p>
  </w:footnote>
  <w:footnote w:type="continuationSeparator" w:id="0">
    <w:p w14:paraId="09D32B9E" w14:textId="77777777" w:rsidR="00B66DD1" w:rsidRDefault="00B66DD1" w:rsidP="004515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59"/>
    <w:rsid w:val="000212D6"/>
    <w:rsid w:val="00052C4F"/>
    <w:rsid w:val="000573EC"/>
    <w:rsid w:val="0006553B"/>
    <w:rsid w:val="000B53BF"/>
    <w:rsid w:val="000C6996"/>
    <w:rsid w:val="000D2E5B"/>
    <w:rsid w:val="00101383"/>
    <w:rsid w:val="00132DDD"/>
    <w:rsid w:val="00162CFC"/>
    <w:rsid w:val="00163EC5"/>
    <w:rsid w:val="00167BE3"/>
    <w:rsid w:val="001703A5"/>
    <w:rsid w:val="00177523"/>
    <w:rsid w:val="001F0B65"/>
    <w:rsid w:val="002270CF"/>
    <w:rsid w:val="00244A95"/>
    <w:rsid w:val="00270E9B"/>
    <w:rsid w:val="00286D01"/>
    <w:rsid w:val="002D0DF8"/>
    <w:rsid w:val="002F3538"/>
    <w:rsid w:val="00375486"/>
    <w:rsid w:val="003A290F"/>
    <w:rsid w:val="003B1BD0"/>
    <w:rsid w:val="003B6412"/>
    <w:rsid w:val="003D10AC"/>
    <w:rsid w:val="00402487"/>
    <w:rsid w:val="004126AB"/>
    <w:rsid w:val="004141ED"/>
    <w:rsid w:val="00425E0C"/>
    <w:rsid w:val="004325A7"/>
    <w:rsid w:val="00440573"/>
    <w:rsid w:val="004515F6"/>
    <w:rsid w:val="004673F4"/>
    <w:rsid w:val="00475CAD"/>
    <w:rsid w:val="00491714"/>
    <w:rsid w:val="004A2A1B"/>
    <w:rsid w:val="004B61FD"/>
    <w:rsid w:val="004C7B4F"/>
    <w:rsid w:val="004D1BED"/>
    <w:rsid w:val="004F2617"/>
    <w:rsid w:val="00520481"/>
    <w:rsid w:val="005267CC"/>
    <w:rsid w:val="00536C59"/>
    <w:rsid w:val="00562D16"/>
    <w:rsid w:val="00582D2B"/>
    <w:rsid w:val="00585D21"/>
    <w:rsid w:val="00585EF9"/>
    <w:rsid w:val="005979F6"/>
    <w:rsid w:val="005B7E8C"/>
    <w:rsid w:val="005C784D"/>
    <w:rsid w:val="005D6768"/>
    <w:rsid w:val="006100DA"/>
    <w:rsid w:val="006149A3"/>
    <w:rsid w:val="00693506"/>
    <w:rsid w:val="00696847"/>
    <w:rsid w:val="00780F72"/>
    <w:rsid w:val="00783AED"/>
    <w:rsid w:val="007933F7"/>
    <w:rsid w:val="007C5E2B"/>
    <w:rsid w:val="007C7A62"/>
    <w:rsid w:val="007D1A72"/>
    <w:rsid w:val="007D3A20"/>
    <w:rsid w:val="007E5C07"/>
    <w:rsid w:val="008302B4"/>
    <w:rsid w:val="0086311C"/>
    <w:rsid w:val="00876396"/>
    <w:rsid w:val="00880644"/>
    <w:rsid w:val="008845FE"/>
    <w:rsid w:val="008A4406"/>
    <w:rsid w:val="008B183B"/>
    <w:rsid w:val="008C6406"/>
    <w:rsid w:val="00957D4B"/>
    <w:rsid w:val="009A03D3"/>
    <w:rsid w:val="00A00951"/>
    <w:rsid w:val="00A702B3"/>
    <w:rsid w:val="00A81E89"/>
    <w:rsid w:val="00A9159D"/>
    <w:rsid w:val="00A91E29"/>
    <w:rsid w:val="00AE2BA8"/>
    <w:rsid w:val="00B04C5A"/>
    <w:rsid w:val="00B134B0"/>
    <w:rsid w:val="00B15F63"/>
    <w:rsid w:val="00B510B2"/>
    <w:rsid w:val="00B54D6F"/>
    <w:rsid w:val="00B66DD1"/>
    <w:rsid w:val="00B769A6"/>
    <w:rsid w:val="00B94142"/>
    <w:rsid w:val="00BA5E8A"/>
    <w:rsid w:val="00BC2A6C"/>
    <w:rsid w:val="00BE1D92"/>
    <w:rsid w:val="00BF7080"/>
    <w:rsid w:val="00C04912"/>
    <w:rsid w:val="00C41100"/>
    <w:rsid w:val="00C524C2"/>
    <w:rsid w:val="00C73A59"/>
    <w:rsid w:val="00CA7BCB"/>
    <w:rsid w:val="00CB30D7"/>
    <w:rsid w:val="00CC269E"/>
    <w:rsid w:val="00CC47BE"/>
    <w:rsid w:val="00CD582C"/>
    <w:rsid w:val="00CE0012"/>
    <w:rsid w:val="00D07215"/>
    <w:rsid w:val="00D13FDB"/>
    <w:rsid w:val="00D43D46"/>
    <w:rsid w:val="00D62D17"/>
    <w:rsid w:val="00D828B8"/>
    <w:rsid w:val="00DA32C9"/>
    <w:rsid w:val="00DC2D0D"/>
    <w:rsid w:val="00DC6946"/>
    <w:rsid w:val="00DD67ED"/>
    <w:rsid w:val="00DE1F15"/>
    <w:rsid w:val="00DF4D1B"/>
    <w:rsid w:val="00E11708"/>
    <w:rsid w:val="00E54157"/>
    <w:rsid w:val="00E61209"/>
    <w:rsid w:val="00E73F58"/>
    <w:rsid w:val="00E74FFD"/>
    <w:rsid w:val="00E86445"/>
    <w:rsid w:val="00E967CB"/>
    <w:rsid w:val="00E968AA"/>
    <w:rsid w:val="00EC14E4"/>
    <w:rsid w:val="00ED18B4"/>
    <w:rsid w:val="00F0047D"/>
    <w:rsid w:val="00F3649B"/>
    <w:rsid w:val="00F40087"/>
    <w:rsid w:val="00F54C2F"/>
    <w:rsid w:val="00F74AEF"/>
    <w:rsid w:val="00F85290"/>
    <w:rsid w:val="00FA2AC1"/>
    <w:rsid w:val="00FB6A1B"/>
    <w:rsid w:val="00FC6553"/>
    <w:rsid w:val="00FD085B"/>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183A715"/>
  <w15:docId w15:val="{E16A8699-2D6A-466B-AAC9-47841580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59"/>
    <w:pPr>
      <w:spacing w:after="12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536C59"/>
    <w:pPr>
      <w:keepNext/>
      <w:keepLines/>
      <w:tabs>
        <w:tab w:val="left" w:pos="1584"/>
      </w:tabs>
      <w:spacing w:after="240"/>
      <w:ind w:left="1800" w:hanging="1800"/>
      <w:outlineLvl w:val="0"/>
    </w:pPr>
    <w:rPr>
      <w:rFonts w:eastAsiaTheme="majorEastAsia" w:cstheme="majorBidi"/>
      <w:b/>
      <w:bCs/>
      <w:szCs w:val="28"/>
    </w:rPr>
  </w:style>
  <w:style w:type="paragraph" w:styleId="Heading4">
    <w:name w:val="heading 4"/>
    <w:basedOn w:val="Normal"/>
    <w:next w:val="Normal"/>
    <w:link w:val="Heading4Char"/>
    <w:autoRedefine/>
    <w:qFormat/>
    <w:rsid w:val="00536C59"/>
    <w:pPr>
      <w:keepNext/>
      <w:spacing w:before="120"/>
      <w:jc w:val="left"/>
      <w:outlineLvl w:val="3"/>
    </w:pPr>
    <w:rPr>
      <w:rFonts w:ascii="Times New Roman Bold" w:hAnsi="Times New Roman Bold"/>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C59"/>
    <w:rPr>
      <w:rFonts w:ascii="Times New Roman" w:eastAsiaTheme="majorEastAsia" w:hAnsi="Times New Roman" w:cstheme="majorBidi"/>
      <w:b/>
      <w:bCs/>
      <w:sz w:val="24"/>
      <w:szCs w:val="28"/>
    </w:rPr>
  </w:style>
  <w:style w:type="character" w:customStyle="1" w:styleId="Heading4Char">
    <w:name w:val="Heading 4 Char"/>
    <w:basedOn w:val="DefaultParagraphFont"/>
    <w:link w:val="Heading4"/>
    <w:rsid w:val="00536C59"/>
    <w:rPr>
      <w:rFonts w:ascii="Times New Roman Bold" w:eastAsia="Times New Roman" w:hAnsi="Times New Roman Bold" w:cs="Times New Roman"/>
      <w:b/>
      <w:bCs/>
      <w:sz w:val="24"/>
      <w:szCs w:val="28"/>
    </w:rPr>
  </w:style>
  <w:style w:type="paragraph" w:styleId="Footer">
    <w:name w:val="footer"/>
    <w:basedOn w:val="Normal"/>
    <w:link w:val="FooterChar"/>
    <w:uiPriority w:val="99"/>
    <w:rsid w:val="00536C59"/>
    <w:pPr>
      <w:tabs>
        <w:tab w:val="center" w:pos="4320"/>
        <w:tab w:val="right" w:pos="8640"/>
      </w:tabs>
      <w:suppressAutoHyphens/>
    </w:pPr>
    <w:rPr>
      <w:szCs w:val="20"/>
    </w:rPr>
  </w:style>
  <w:style w:type="character" w:customStyle="1" w:styleId="FooterChar">
    <w:name w:val="Footer Char"/>
    <w:basedOn w:val="DefaultParagraphFont"/>
    <w:link w:val="Footer"/>
    <w:uiPriority w:val="99"/>
    <w:rsid w:val="00536C5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4515F6"/>
    <w:pPr>
      <w:tabs>
        <w:tab w:val="center" w:pos="4680"/>
        <w:tab w:val="right" w:pos="9360"/>
      </w:tabs>
      <w:spacing w:after="0"/>
    </w:pPr>
  </w:style>
  <w:style w:type="character" w:customStyle="1" w:styleId="HeaderChar">
    <w:name w:val="Header Char"/>
    <w:basedOn w:val="DefaultParagraphFont"/>
    <w:link w:val="Header"/>
    <w:uiPriority w:val="99"/>
    <w:rsid w:val="004515F6"/>
    <w:rPr>
      <w:rFonts w:ascii="Times New Roman" w:eastAsia="Times New Roman" w:hAnsi="Times New Roman" w:cs="Times New Roman"/>
      <w:sz w:val="24"/>
      <w:szCs w:val="24"/>
    </w:rPr>
  </w:style>
  <w:style w:type="paragraph" w:customStyle="1" w:styleId="Normal-0After">
    <w:name w:val="Normal-0 After"/>
    <w:basedOn w:val="Normal"/>
    <w:rsid w:val="00B769A6"/>
    <w:pPr>
      <w:suppressAutoHyphens/>
      <w:spacing w:after="0"/>
    </w:pPr>
    <w:rPr>
      <w:szCs w:val="20"/>
    </w:rPr>
  </w:style>
  <w:style w:type="character" w:styleId="CommentReference">
    <w:name w:val="annotation reference"/>
    <w:basedOn w:val="DefaultParagraphFont"/>
    <w:uiPriority w:val="99"/>
    <w:semiHidden/>
    <w:unhideWhenUsed/>
    <w:rsid w:val="002D0DF8"/>
    <w:rPr>
      <w:sz w:val="16"/>
      <w:szCs w:val="16"/>
    </w:rPr>
  </w:style>
  <w:style w:type="paragraph" w:styleId="CommentText">
    <w:name w:val="annotation text"/>
    <w:basedOn w:val="Normal"/>
    <w:link w:val="CommentTextChar"/>
    <w:uiPriority w:val="99"/>
    <w:semiHidden/>
    <w:unhideWhenUsed/>
    <w:rsid w:val="002D0DF8"/>
    <w:rPr>
      <w:sz w:val="20"/>
      <w:szCs w:val="20"/>
    </w:rPr>
  </w:style>
  <w:style w:type="character" w:customStyle="1" w:styleId="CommentTextChar">
    <w:name w:val="Comment Text Char"/>
    <w:basedOn w:val="DefaultParagraphFont"/>
    <w:link w:val="CommentText"/>
    <w:uiPriority w:val="99"/>
    <w:semiHidden/>
    <w:rsid w:val="002D0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0DF8"/>
    <w:rPr>
      <w:b/>
      <w:bCs/>
    </w:rPr>
  </w:style>
  <w:style w:type="character" w:customStyle="1" w:styleId="CommentSubjectChar">
    <w:name w:val="Comment Subject Char"/>
    <w:basedOn w:val="CommentTextChar"/>
    <w:link w:val="CommentSubject"/>
    <w:uiPriority w:val="99"/>
    <w:semiHidden/>
    <w:rsid w:val="002D0DF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D0D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DF8"/>
    <w:rPr>
      <w:rFonts w:ascii="Tahoma" w:eastAsia="Times New Roman" w:hAnsi="Tahoma" w:cs="Tahoma"/>
      <w:sz w:val="16"/>
      <w:szCs w:val="16"/>
    </w:rPr>
  </w:style>
  <w:style w:type="paragraph" w:styleId="BodyText">
    <w:name w:val="Body Text"/>
    <w:basedOn w:val="Normal"/>
    <w:link w:val="BodyTextChar"/>
    <w:semiHidden/>
    <w:rsid w:val="008C6406"/>
    <w:rPr>
      <w:sz w:val="22"/>
      <w:lang w:val="x-none" w:eastAsia="x-none"/>
    </w:rPr>
  </w:style>
  <w:style w:type="character" w:customStyle="1" w:styleId="BodyTextChar">
    <w:name w:val="Body Text Char"/>
    <w:basedOn w:val="DefaultParagraphFont"/>
    <w:link w:val="BodyText"/>
    <w:semiHidden/>
    <w:rsid w:val="008C6406"/>
    <w:rPr>
      <w:rFonts w:ascii="Times New Roman" w:eastAsia="Times New Roman"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8217-D3FC-4885-B8CE-8FFD3192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ADF&amp;G</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Witteveen, Mark J (DFG)</dc:creator>
  <cp:lastModifiedBy>Whiteside, Cassandra J (DFG)</cp:lastModifiedBy>
  <cp:revision>11</cp:revision>
  <cp:lastPrinted>2012-11-19T19:42:00Z</cp:lastPrinted>
  <dcterms:created xsi:type="dcterms:W3CDTF">2019-11-22T23:02:00Z</dcterms:created>
  <dcterms:modified xsi:type="dcterms:W3CDTF">2019-11-26T23:53:00Z</dcterms:modified>
</cp:coreProperties>
</file>