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E7C86"/>
          <w:sz w:val="18"/>
        </w:rPr>
        <w:t>PRODUCT LEADERSHIP WEEKLY</w:t>
      </w:r>
    </w:p>
    <w:p>
      <w:pPr>
        <w:spacing w:after="200"/>
      </w:pPr>
      <w:r>
        <w:rPr>
          <w:b/>
          <w:color w:val="1F3A5F"/>
          <w:sz w:val="44"/>
        </w:rPr>
        <w:t>Meeting notes — 14 October 2026</w:t>
      </w:r>
    </w:p>
    <w:tbl>
      <w:tblPr>
        <w:tblW w:type="auto" w:w="0"/>
        <w:tblBorders>
          <w:top w:val="single" w:sz="4" w:space="0" w:color="C9D2DC"/>
          <w:left w:val="nil"/>
          <w:bottom w:val="single" w:sz="4" w:space="0" w:color="C9D2DC"/>
          <w:right w:val="nil"/>
          <w:insideH w:val="single" w:sz="4" w:space="0" w:color="C9D2DC"/>
          <w:insideV w:val="nil"/>
        </w:tblBorders>
        <w:tblLayout w:type="fixed"/>
        <w:tblCellMar>
          <w:top w:w="50" w:type="dxa"/>
          <w:left w:w="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6917"/>
      </w:tblGrid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DATE &amp; TIME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Wednesday 14 October 2026, 10:00–11:00 BST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LOCATION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Room 4.02 and video call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CHAIR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Hannah Kim, VP Product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ATTENDEES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Luis Ortega, Sofia Patel, Ravi Chen, Mei Tanaka, Jonah Fields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APOLOGIES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Grace Mensah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NOTES BY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Mei Tanaka</w:t>
            </w:r>
          </w:p>
        </w:tc>
      </w:tr>
    </w:tbl>
    <w:p>
      <w:pPr>
        <w:spacing w:after="40"/>
      </w:pPr>
    </w:p>
    <w:p>
      <w:pPr>
        <w:pStyle w:val="Heading1"/>
      </w:pPr>
      <w:r>
        <w:t>Decisions</w:t>
      </w:r>
    </w:p>
    <w:tbl>
      <w:tblPr>
        <w:tblW w:type="auto" w:w="0"/>
        <w:tblBorders>
          <w:top w:val="nil"/>
          <w:left w:val="single" w:sz="24" w:space="0" w:color="0E7C86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0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6F2F3"/>
          </w:tcPr>
          <w:p>
            <w:pPr>
              <w:spacing w:after="40"/>
            </w:pPr>
            <w:r/>
            <w:r>
              <w:rPr>
                <w:b/>
                <w:color w:val="0E7C86"/>
                <w:sz w:val="17"/>
              </w:rPr>
              <w:t>AGREED</w:t>
            </w:r>
          </w:p>
          <w:p>
            <w:pPr>
              <w:spacing w:after="0"/>
            </w:pPr>
            <w:r>
              <w:rPr>
                <w:color w:val="1B2A3A"/>
                <w:sz w:val="22"/>
              </w:rPr>
              <w:t>Ship usage-based alerts to all Growth-plan customers on 4 November; hold the Enterprise rollout until the audit-log work lands.</w:t>
            </w:r>
          </w:p>
        </w:tc>
      </w:tr>
    </w:tbl>
    <w:p>
      <w:pPr>
        <w:spacing w:after="40"/>
      </w:pPr>
    </w:p>
    <w:p>
      <w:pPr>
        <w:pStyle w:val="Heading1"/>
      </w:pPr>
      <w:r>
        <w:t>Agenda and discussion</w:t>
      </w:r>
    </w:p>
    <w:p>
      <w:pPr>
        <w:pStyle w:val="Heading2"/>
      </w:pPr>
      <w:r>
        <w:t>1. Q4 roadmap check-in</w:t>
      </w:r>
    </w:p>
    <w:p>
      <w:pPr>
        <w:pStyle w:val="ListBullet"/>
      </w:pPr>
      <w:r>
        <w:t>Usage alerts are feature-complete; beta NPS of 52 across 38 accounts.</w:t>
      </w:r>
    </w:p>
    <w:p>
      <w:pPr>
        <w:pStyle w:val="ListBullet"/>
      </w:pPr>
      <w:r>
        <w:t>Audit log slipped two weeks after the data-retention review — now due 18 November.</w:t>
      </w:r>
    </w:p>
    <w:p>
      <w:pPr>
        <w:pStyle w:val="Heading2"/>
      </w:pPr>
      <w:r>
        <w:t>2. Pricing page experiment</w:t>
      </w:r>
    </w:p>
    <w:p>
      <w:pPr>
        <w:pStyle w:val="ListBullet"/>
      </w:pPr>
      <w:r>
        <w:t>Annual-plan toggle lifted annual conversions from 31% to 38% (n = 2,140 sessions).</w:t>
      </w:r>
    </w:p>
    <w:p>
      <w:pPr>
        <w:pStyle w:val="ListBullet"/>
      </w:pPr>
      <w:r>
        <w:t>Team agreed to make the variant the default and close the test.</w:t>
      </w:r>
    </w:p>
    <w:p>
      <w:pPr>
        <w:pStyle w:val="Heading2"/>
      </w:pPr>
      <w:r>
        <w:t>3. Hiring</w:t>
      </w:r>
    </w:p>
    <w:p>
      <w:pPr>
        <w:pStyle w:val="ListBullet"/>
      </w:pPr>
      <w:r>
        <w:t>Senior PM, Platform: two finalists; decision by 21 October.</w:t>
      </w:r>
    </w:p>
    <w:p>
      <w:pPr>
        <w:pStyle w:val="ListBullet"/>
      </w:pPr>
      <w:r>
        <w:t>Design lead role reopened after offer declined.</w:t>
      </w:r>
    </w:p>
    <w:p>
      <w:pPr>
        <w:pStyle w:val="Heading1"/>
      </w:pPr>
      <w:r>
        <w:t>Action items</w:t>
      </w:r>
    </w:p>
    <w:tbl>
      <w:tblPr>
        <w:tblW w:type="auto" w:w="0"/>
        <w:jc w:val="center"/>
        <w:tblBorders>
          <w:top w:val="nil"/>
          <w:left w:val="nil"/>
          <w:bottom w:val="single" w:sz="8" w:space="0" w:color="1F3A5F"/>
          <w:right w:val="nil"/>
          <w:insideH w:val="single" w:sz="4" w:space="0" w:color="C9D2DC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309"/>
        <w:gridCol w:w="1814"/>
        <w:gridCol w:w="1474"/>
        <w:gridCol w:w="1701"/>
      </w:tblGrid>
      <w:tr>
        <w:trPr>
          <w:tblHeader/>
        </w:trPr>
        <w:tc>
          <w:tcPr>
            <w:tcW w:type="dxa" w:w="4309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Due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Publish usage-alerts launch plan and FAQ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Sofia Patel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21 Oct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/>
                <w:color w:val="B76E00"/>
                <w:sz w:val="19"/>
              </w:rPr>
              <w:t>Open</w:t>
            </w:r>
          </w:p>
        </w:tc>
      </w:tr>
      <w:tr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Confirm audit-log scope with Security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Ravi Chen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18 Oct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/>
                <w:color w:val="B76E00"/>
                <w:sz w:val="19"/>
              </w:rPr>
              <w:t>Open</w:t>
            </w:r>
          </w:p>
        </w:tc>
      </w:tr>
      <w:tr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Retire pricing experiment; update analytics dashboard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Jonah Fields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17 Oct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/>
                <w:color w:val="1E7B4F"/>
                <w:sz w:val="19"/>
              </w:rPr>
              <w:t>Done</w:t>
            </w:r>
          </w:p>
        </w:tc>
      </w:tr>
      <w:tr>
        <w:tc>
          <w:tcPr>
            <w:tcW w:type="dxa" w:w="4309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Final interviews for Senior PM, Platform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Hannah Kim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21 Oct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/>
                <w:color w:val="B76E00"/>
                <w:sz w:val="19"/>
              </w:rPr>
              <w:t>Open</w:t>
            </w:r>
          </w:p>
        </w:tc>
      </w:tr>
    </w:tbl>
    <w:p>
      <w:pPr>
        <w:spacing w:after="80"/>
      </w:pPr>
    </w:p>
    <w:p>
      <w:pPr>
        <w:pStyle w:val="Heading1"/>
      </w:pPr>
      <w:r>
        <w:t>Next meeting</w:t>
      </w:r>
    </w:p>
    <w:p>
      <w:r>
        <w:t>Wednesday 21 October 2026, 10:00 BST. Standing agenda plus a 15-minute review of the audit-log design.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7B"/>
        <w:sz w:val="16"/>
      </w:rPr>
      <w:t xml:space="preserve">Northwind Analytics · Product Leadership    ·    Page </w:t>
    </w:r>
    <w:fldSimple w:instr="PAGE">
      <w:r>
        <w:rPr>
          <w:color w:val="5B6B7B"/>
          <w:sz w:val="16"/>
        </w:rPr>
        <w:t>1</w:t>
      </w:r>
    </w:fldSimple>
    <w:r>
      <w:rPr>
        <w:color w:val="5B6B7B"/>
        <w:sz w:val="16"/>
      </w:rPr>
      <w:t xml:space="preserve"> of </w:t>
    </w:r>
    <w:fldSimple w:instr="NUMPAGES">
      <w:r>
        <w:rPr>
          <w:color w:val="5B6B7B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9D2DC"/>
      </w:pBdr>
      <w:jc w:val="right"/>
    </w:pPr>
    <w:r>
      <w:rPr>
        <w:b/>
        <w:color w:val="5B6B7B"/>
        <w:sz w:val="16"/>
      </w:rPr>
      <w:t>MEETING NOTES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b w:val="0"/>
      <w:i w:val="0"/>
      <w:color w:val="1B2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eastAsia="Calibri" w:cs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 w:eastAsia="Calibri" w:cs="Calibri"/>
      <w:b/>
      <w:bCs/>
      <w:i w:val="0"/>
      <w:color w:val="0E7C8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="Calibri" w:hAnsi="Calibri" w:eastAsia="Calibri" w:cs="Calibri"/>
      <w:b/>
      <w:bCs/>
      <w:i w:val="0"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i w:val="0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i w:val="0"/>
      <w:color w:val="1B2A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i w:val="0"/>
      <w:color w:val="1B2A3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Northwind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