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5F"/>
          <w:sz w:val="36"/>
        </w:rPr>
        <w:t>MUTUAL NON-DISCLOSURE AGREEMENT</w:t>
      </w:r>
    </w:p>
    <w:p>
      <w:pPr>
        <w:spacing w:after="240"/>
        <w:jc w:val="center"/>
      </w:pPr>
      <w:r>
        <w:rPr>
          <w:color w:val="5B6B7B"/>
          <w:sz w:val="19"/>
        </w:rPr>
        <w:t>Execution version · dated 9 October 2026</w:t>
      </w:r>
    </w:p>
    <w:p>
      <w:pPr>
        <w:spacing w:after="120"/>
      </w:pPr>
      <w:r>
        <w:rPr>
          <w:b/>
        </w:rPr>
        <w:t>THIS AGREEMENT is made between:</w:t>
      </w:r>
    </w:p>
    <w:p>
      <w:r>
        <w:rPr>
          <w:b/>
        </w:rPr>
        <w:t xml:space="preserve">(1) Northwind Analytics Ltd, </w:t>
      </w:r>
      <w:r>
        <w:rPr>
          <w:b w:val="0"/>
        </w:rPr>
        <w:t>a company incorporated in England and Wales (company number 09876543), whose registered office is at 20 Finsbury Square, London EC2A 1AB (“Northwind”); and</w:t>
      </w:r>
    </w:p>
    <w:p>
      <w:r>
        <w:rPr>
          <w:b/>
        </w:rPr>
        <w:t xml:space="preserve">(2) Halcyon Robotics Inc., </w:t>
      </w:r>
      <w:r>
        <w:rPr>
          <w:b w:val="0"/>
        </w:rPr>
        <w:t>a Delaware corporation whose principal office is at 500 Howard Street, San Francisco, CA 94105 (“Halcyon”),</w:t>
      </w:r>
    </w:p>
    <w:p>
      <w:pPr>
        <w:spacing w:after="240"/>
      </w:pPr>
      <w:r>
        <w:t>each a “Party” and together the “Parties”.</w:t>
      </w:r>
    </w:p>
    <w:p>
      <w:pPr>
        <w:spacing w:after="100" w:line="259" w:lineRule="auto"/>
        <w:jc w:val="both"/>
      </w:pPr>
      <w:r>
        <w:rPr>
          <w:b/>
          <w:sz w:val="19"/>
        </w:rPr>
        <w:t xml:space="preserve">1.  Purpose. </w:t>
      </w:r>
      <w:r>
        <w:rPr>
          <w:b w:val="0"/>
          <w:sz w:val="19"/>
        </w:rPr>
        <w:t>The Parties wish to evaluate a potential commercial partnership for joint warehouse-analytics products (the “Purpose”) and expect to disclose Confidential Information to each other for that Purpose.</w:t>
      </w:r>
    </w:p>
    <w:p>
      <w:pPr>
        <w:spacing w:after="100" w:line="259" w:lineRule="auto"/>
        <w:jc w:val="both"/>
      </w:pPr>
      <w:r>
        <w:rPr>
          <w:b/>
          <w:sz w:val="19"/>
        </w:rPr>
        <w:t xml:space="preserve">2.  Confidential Information. </w:t>
      </w:r>
      <w:r>
        <w:rPr>
          <w:b w:val="0"/>
          <w:sz w:val="19"/>
        </w:rPr>
        <w:t>“Confidential Information” means any information disclosed by one Party (the “Discloser”) to the other (the “Recipient”), whether before or after the date of this Agreement, in any form, that is marked as confidential or would reasonably be regarded as confidential, including business plans, pricing, source code, product roadmaps and customer data.</w:t>
      </w:r>
    </w:p>
    <w:p>
      <w:pPr>
        <w:spacing w:after="100" w:line="259" w:lineRule="auto"/>
        <w:jc w:val="both"/>
      </w:pPr>
      <w:r>
        <w:rPr>
          <w:b/>
          <w:sz w:val="19"/>
        </w:rPr>
        <w:t xml:space="preserve">3.  Exclusions. </w:t>
      </w:r>
      <w:r>
        <w:rPr>
          <w:b w:val="0"/>
          <w:sz w:val="19"/>
        </w:rPr>
        <w:t>Confidential Information does not include information that (a) is or becomes public other than through breach of this Agreement; (b) was lawfully known to the Recipient before disclosure; (c) is independently developed without use of the Discloser’s information; or (d) is lawfully received from a third party without restriction.</w:t>
      </w:r>
    </w:p>
    <w:p>
      <w:pPr>
        <w:spacing w:after="100" w:line="259" w:lineRule="auto"/>
        <w:jc w:val="both"/>
      </w:pPr>
      <w:r>
        <w:rPr>
          <w:b/>
          <w:sz w:val="19"/>
        </w:rPr>
        <w:t xml:space="preserve">4.  Obligations. </w:t>
      </w:r>
      <w:r>
        <w:rPr>
          <w:b w:val="0"/>
          <w:sz w:val="19"/>
        </w:rPr>
        <w:t>The Recipient shall (a) use Confidential Information only for the Purpose; (b) protect it with at least the care it uses for its own confidential information, and no less than reasonable care; and (c) disclose it only to its employees, officers and professional advisers who need to know it for the Purpose and are bound by obligations no less protective than these.</w:t>
      </w:r>
    </w:p>
    <w:p>
      <w:pPr>
        <w:spacing w:after="100" w:line="259" w:lineRule="auto"/>
        <w:jc w:val="both"/>
      </w:pPr>
      <w:r>
        <w:rPr>
          <w:b/>
          <w:sz w:val="19"/>
        </w:rPr>
        <w:t xml:space="preserve">5.  Compelled disclosure. </w:t>
      </w:r>
      <w:r>
        <w:rPr>
          <w:b w:val="0"/>
          <w:sz w:val="19"/>
        </w:rPr>
        <w:t>The Recipient may disclose Confidential Information where required by law or a competent authority, provided it gives the Discloser prompt written notice (where lawful) and discloses only what is required.</w:t>
      </w:r>
    </w:p>
    <w:p>
      <w:pPr>
        <w:spacing w:after="100" w:line="259" w:lineRule="auto"/>
        <w:jc w:val="both"/>
      </w:pPr>
      <w:r>
        <w:rPr>
          <w:b/>
          <w:sz w:val="19"/>
        </w:rPr>
        <w:t xml:space="preserve">6.  Return and destruction. </w:t>
      </w:r>
      <w:r>
        <w:rPr>
          <w:b w:val="0"/>
          <w:sz w:val="19"/>
        </w:rPr>
        <w:t>On written request, or on termination, the Recipient shall promptly return or destroy all Confidential Information, save for copies retained in automatic back-ups or as required by law, which remain subject to this Agreement.</w:t>
      </w:r>
    </w:p>
    <w:p>
      <w:pPr>
        <w:spacing w:after="100" w:line="259" w:lineRule="auto"/>
        <w:jc w:val="both"/>
      </w:pPr>
      <w:r>
        <w:rPr>
          <w:b/>
          <w:sz w:val="19"/>
        </w:rPr>
        <w:t xml:space="preserve">7.  Term. </w:t>
      </w:r>
      <w:r>
        <w:rPr>
          <w:b w:val="0"/>
          <w:sz w:val="19"/>
        </w:rPr>
        <w:t>This Agreement lasts two (2) years from its date. The obligations in clause 4 survive for three (3) years after expiry or termination, and indefinitely for trade secrets.</w:t>
      </w:r>
    </w:p>
    <w:p>
      <w:pPr>
        <w:spacing w:after="100" w:line="259" w:lineRule="auto"/>
        <w:jc w:val="both"/>
      </w:pPr>
      <w:r>
        <w:rPr>
          <w:b/>
          <w:sz w:val="19"/>
        </w:rPr>
        <w:t xml:space="preserve">8.  No licence or warranty. </w:t>
      </w:r>
      <w:r>
        <w:rPr>
          <w:b w:val="0"/>
          <w:sz w:val="19"/>
        </w:rPr>
        <w:t>No licence is granted under any intellectual property right. Confidential Information is provided “as is” without warranty of any kind.</w:t>
      </w:r>
    </w:p>
    <w:p>
      <w:pPr>
        <w:spacing w:after="100" w:line="259" w:lineRule="auto"/>
        <w:jc w:val="both"/>
      </w:pPr>
      <w:r>
        <w:rPr>
          <w:b/>
          <w:sz w:val="19"/>
        </w:rPr>
        <w:t xml:space="preserve">9.  Remedies. </w:t>
      </w:r>
      <w:r>
        <w:rPr>
          <w:b w:val="0"/>
          <w:sz w:val="19"/>
        </w:rPr>
        <w:t>Damages may not be an adequate remedy for breach, and the Discloser is entitled to seek injunctive relief in addition to any other remedy.</w:t>
      </w:r>
    </w:p>
    <w:p>
      <w:pPr>
        <w:spacing w:after="100" w:line="259" w:lineRule="auto"/>
        <w:jc w:val="both"/>
      </w:pPr>
      <w:r>
        <w:rPr>
          <w:b/>
          <w:sz w:val="19"/>
        </w:rPr>
        <w:t xml:space="preserve">10.  Governing law. </w:t>
      </w:r>
      <w:r>
        <w:rPr>
          <w:b w:val="0"/>
          <w:sz w:val="19"/>
        </w:rPr>
        <w:t>This Agreement and any dispute arising from it are governed by the laws of England and Wales, and the courts of England have exclusive jurisdiction.</w:t>
      </w:r>
    </w:p>
    <w:p>
      <w:pPr>
        <w:spacing w:after="120" w:before="160"/>
      </w:pPr>
      <w:r>
        <w:rPr>
          <w:b/>
        </w:rPr>
        <w:t>SIGNED by the authorised representatives of the Parties:</w:t>
      </w:r>
    </w:p>
    <w:tbl>
      <w:tblPr>
        <w:tblW w:type="auto" w:w="0"/>
        <w:tblBorders>
          <w:top w:val="nil"/>
          <w:left w:val="nil"/>
          <w:bottom w:val="nil"/>
          <w:right w:val="nil"/>
          <w:insideH w:val="nil"/>
          <w:insideV w:val="nil"/>
        </w:tblBorders>
        <w:tblLayout w:type="fixed"/>
        <w:tblCellMar>
          <w:top w:w="40" w:type="dxa"/>
          <w:left w:w="0" w:type="dxa"/>
          <w:bottom w:w="40" w:type="dxa"/>
          <w:right w:w="0" w:type="dxa"/>
        </w:tblCellMar>
        <w:tblLook w:firstColumn="1" w:firstRow="1" w:lastColumn="0" w:lastRow="0" w:noHBand="0" w:noVBand="1" w:val="04A0"/>
      </w:tblPr>
      <w:tblGrid>
        <w:gridCol w:w="4309"/>
        <w:gridCol w:w="680"/>
        <w:gridCol w:w="4309"/>
      </w:tblGrid>
      <w:tr>
        <w:tc>
          <w:tcPr>
            <w:tcW w:type="dxa" w:w="4309"/>
          </w:tcPr>
          <w:p>
            <w:pPr>
              <w:spacing w:after="0" w:line="252" w:lineRule="auto"/>
            </w:pPr>
            <w:r/>
            <w:r>
              <w:rPr>
                <w:b/>
                <w:color w:val="1F3A5F"/>
                <w:sz w:val="20"/>
              </w:rPr>
              <w:t>Northwind Analytics Ltd</w:t>
            </w:r>
          </w:p>
        </w:tc>
        <w:tc>
          <w:tcPr>
            <w:tcW w:type="dxa" w:w="680"/>
          </w:tcPr>
          <w:p/>
        </w:tc>
        <w:tc>
          <w:tcPr>
            <w:tcW w:type="dxa" w:w="4309"/>
          </w:tcPr>
          <w:p>
            <w:pPr>
              <w:spacing w:after="0" w:line="252" w:lineRule="auto"/>
            </w:pPr>
            <w:r/>
            <w:r>
              <w:rPr>
                <w:b/>
                <w:color w:val="1F3A5F"/>
                <w:sz w:val="20"/>
              </w:rPr>
              <w:t>Halcyon Robotics Inc.</w:t>
            </w:r>
          </w:p>
        </w:tc>
      </w:tr>
      <w:tr>
        <w:tc>
          <w:tcPr>
            <w:tcW w:type="dxa" w:w="4309"/>
            <w:tcBorders>
              <w:bottom w:val="single" w:sz="6" w:space="0" w:color="1B2A3A"/>
            </w:tcBorders>
          </w:tcPr>
          <w:p>
            <w:pPr>
              <w:spacing w:after="0" w:line="252" w:lineRule="auto"/>
            </w:pPr>
            <w:r/>
            <w:r>
              <w:rPr>
                <w:b w:val="0"/>
                <w:color w:val="1B2A3A"/>
                <w:sz w:val="20"/>
              </w:rPr>
            </w:r>
          </w:p>
          <w:p>
            <w:pPr>
              <w:spacing w:after="0"/>
            </w:pPr>
            <w:r>
              <w:rPr>
                <w:b w:val="0"/>
                <w:color w:val="1B2A3A"/>
                <w:sz w:val="20"/>
              </w:rPr>
            </w:r>
          </w:p>
        </w:tc>
        <w:tc>
          <w:tcPr>
            <w:tcW w:type="dxa" w:w="680"/>
          </w:tcPr>
          <w:p/>
        </w:tc>
        <w:tc>
          <w:tcPr>
            <w:tcW w:type="dxa" w:w="4309"/>
            <w:tcBorders>
              <w:bottom w:val="single" w:sz="6" w:space="0" w:color="1B2A3A"/>
            </w:tcBorders>
          </w:tcPr>
          <w:p>
            <w:pPr>
              <w:spacing w:after="0" w:line="252" w:lineRule="auto"/>
            </w:pPr>
            <w:r/>
            <w:r>
              <w:rPr>
                <w:b w:val="0"/>
                <w:color w:val="1B2A3A"/>
                <w:sz w:val="20"/>
              </w:rPr>
            </w:r>
          </w:p>
          <w:p>
            <w:pPr>
              <w:spacing w:after="0"/>
            </w:pPr>
            <w:r>
              <w:rPr>
                <w:b w:val="0"/>
                <w:color w:val="1B2A3A"/>
                <w:sz w:val="20"/>
              </w:rPr>
            </w:r>
          </w:p>
        </w:tc>
      </w:tr>
      <w:tr>
        <w:tc>
          <w:tcPr>
            <w:tcW w:type="dxa" w:w="4309"/>
          </w:tcPr>
          <w:p>
            <w:pPr>
              <w:spacing w:after="0" w:line="252" w:lineRule="auto"/>
            </w:pPr>
            <w:r/>
            <w:r>
              <w:rPr>
                <w:b w:val="0"/>
                <w:color w:val="5B6B7B"/>
                <w:sz w:val="17"/>
              </w:rPr>
              <w:t>Signature</w:t>
            </w:r>
          </w:p>
        </w:tc>
        <w:tc>
          <w:tcPr>
            <w:tcW w:type="dxa" w:w="680"/>
          </w:tcPr>
          <w:p/>
        </w:tc>
        <w:tc>
          <w:tcPr>
            <w:tcW w:type="dxa" w:w="4309"/>
          </w:tcPr>
          <w:p>
            <w:pPr>
              <w:spacing w:after="0" w:line="252" w:lineRule="auto"/>
            </w:pPr>
            <w:r/>
            <w:r>
              <w:rPr>
                <w:b w:val="0"/>
                <w:color w:val="5B6B7B"/>
                <w:sz w:val="17"/>
              </w:rPr>
              <w:t>Signature</w:t>
            </w:r>
          </w:p>
        </w:tc>
      </w:tr>
      <w:tr>
        <w:tc>
          <w:tcPr>
            <w:tcW w:type="dxa" w:w="4309"/>
          </w:tcPr>
          <w:p>
            <w:pPr>
              <w:spacing w:after="0" w:line="252" w:lineRule="auto"/>
            </w:pPr>
            <w:r/>
            <w:r>
              <w:rPr>
                <w:b w:val="0"/>
                <w:color w:val="1B2A3A"/>
                <w:sz w:val="20"/>
              </w:rPr>
              <w:t>Priya Raman, Chief Financial Officer</w:t>
            </w:r>
          </w:p>
        </w:tc>
        <w:tc>
          <w:tcPr>
            <w:tcW w:type="dxa" w:w="680"/>
          </w:tcPr>
          <w:p/>
        </w:tc>
        <w:tc>
          <w:tcPr>
            <w:tcW w:type="dxa" w:w="4309"/>
          </w:tcPr>
          <w:p>
            <w:pPr>
              <w:spacing w:after="0" w:line="252" w:lineRule="auto"/>
            </w:pPr>
            <w:r/>
            <w:r>
              <w:rPr>
                <w:b w:val="0"/>
                <w:color w:val="1B2A3A"/>
                <w:sz w:val="20"/>
              </w:rPr>
              <w:t>Marcus Bell, General Counsel</w:t>
            </w:r>
          </w:p>
        </w:tc>
      </w:tr>
      <w:tr>
        <w:tc>
          <w:tcPr>
            <w:tcW w:type="dxa" w:w="4309"/>
          </w:tcPr>
          <w:p>
            <w:pPr>
              <w:spacing w:after="0" w:line="252" w:lineRule="auto"/>
            </w:pPr>
            <w:r/>
            <w:r>
              <w:rPr>
                <w:b w:val="0"/>
                <w:color w:val="1B2A3A"/>
                <w:sz w:val="20"/>
              </w:rPr>
              <w:t>Date: ____________________</w:t>
            </w:r>
          </w:p>
        </w:tc>
        <w:tc>
          <w:tcPr>
            <w:tcW w:type="dxa" w:w="680"/>
          </w:tcPr>
          <w:p/>
        </w:tc>
        <w:tc>
          <w:tcPr>
            <w:tcW w:type="dxa" w:w="4309"/>
          </w:tcPr>
          <w:p>
            <w:pPr>
              <w:spacing w:after="0" w:line="252" w:lineRule="auto"/>
            </w:pPr>
            <w:r/>
            <w:r>
              <w:rPr>
                <w:b w:val="0"/>
                <w:color w:val="1B2A3A"/>
                <w:sz w:val="20"/>
              </w:rPr>
              <w:t>Date: ____________________</w:t>
            </w:r>
          </w:p>
        </w:tc>
      </w:tr>
    </w:tbl>
    <w:sectPr w:rsidR="00FC693F" w:rsidRPr="0006063C" w:rsidSect="00034616">
      <w:headerReference w:type="default" r:id="rId9"/>
      <w:footerReference w:type="default" r:id="rId10"/>
      <w:pgSz w:w="11906" w:h="16838"/>
      <w:pgMar w:top="1247" w:right="130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7B"/>
        <w:sz w:val="16"/>
      </w:rPr>
      <w:t xml:space="preserve">Mutual NDA · Execution version    ·    Page </w:t>
    </w:r>
    <w:fldSimple w:instr="PAGE">
      <w:r>
        <w:rPr>
          <w:color w:val="5B6B7B"/>
          <w:sz w:val="16"/>
        </w:rPr>
        <w:t>1</w:t>
      </w:r>
    </w:fldSimple>
    <w:r>
      <w:rPr>
        <w:color w:val="5B6B7B"/>
        <w:sz w:val="16"/>
      </w:rPr>
      <w:t xml:space="preserve"> of </w:t>
    </w:r>
    <w:fldSimple w:instr="NUMPAGES">
      <w:r>
        <w:rPr>
          <w:color w:val="5B6B7B"/>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9D2DC"/>
      </w:pBdr>
      <w:jc w:val="right"/>
    </w:pPr>
    <w:r>
      <w:rPr>
        <w:b/>
        <w:color w:val="5B6B7B"/>
        <w:sz w:val="16"/>
      </w:rPr>
      <w:t>MUTUAL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b w:val="0"/>
      <w:i w:val="0"/>
      <w:color w:val="1B2A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i w:val="0"/>
      <w:color w:val="0E7C86"/>
      <w:sz w:val="24"/>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Calibri" w:hAnsi="Calibri" w:eastAsia="Calibri" w:cs="Calibri"/>
      <w:b/>
      <w:bCs/>
      <w:i w:val="0"/>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eastAsia="Calibri" w:cs="Calibri"/>
      <w:b/>
      <w:i w:val="0"/>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i w:val="0"/>
      <w:color w:val="1B2A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i w:val="0"/>
      <w:color w:val="1B2A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Northwind Analytics</dc:creator>
  <cp:keywords/>
  <dc:description>generated by python-docx</dc:description>
  <cp:lastModifiedBy/>
  <cp:revision>1</cp:revision>
  <dcterms:created xsi:type="dcterms:W3CDTF">2013-12-23T23:15:00Z</dcterms:created>
  <dcterms:modified xsi:type="dcterms:W3CDTF">2013-12-23T23:15:00Z</dcterms:modified>
  <cp:category/>
</cp:coreProperties>
</file>