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</w:p>
    <w:p>
      <w:pPr>
        <w:spacing w:after="120"/>
      </w:pPr>
      <w:r>
        <w:rPr>
          <w:b/>
          <w:color w:val="0E7C86"/>
          <w:sz w:val="18"/>
        </w:rPr>
        <w:t>STEERING COMMITTEE · CUSTOMER PORTAL REPLATFORM</w:t>
      </w:r>
    </w:p>
    <w:p>
      <w:pPr>
        <w:spacing w:after="160" w:line="240" w:lineRule="auto"/>
      </w:pPr>
      <w:r>
        <w:rPr>
          <w:b/>
          <w:color w:val="1F3A5F"/>
          <w:sz w:val="56"/>
        </w:rPr>
        <w:t>Customer Portal Replatform</w:t>
      </w:r>
    </w:p>
    <w:p>
      <w:pPr>
        <w:spacing w:after="360"/>
      </w:pPr>
      <w:r>
        <w:rPr>
          <w:color w:val="5B6B7B"/>
          <w:sz w:val="26"/>
        </w:rPr>
        <w:t>Project plan · version 1.2</w:t>
      </w:r>
    </w:p>
    <w:p>
      <w:pPr>
        <w:pBdr>
          <w:bottom w:val="single" w:sz="18" w:space="1" w:color="0E7C86"/>
        </w:pBdr>
        <w:spacing w:after="360"/>
      </w:pPr>
    </w:p>
    <w:tbl>
      <w:tblPr>
        <w:tblW w:type="auto" w:w="0"/>
        <w:tblBorders>
          <w:top w:val="nil"/>
          <w:left w:val="single" w:sz="24" w:space="0" w:color="0E7C86"/>
          <w:bottom w:val="nil"/>
          <w:right w:val="nil"/>
          <w:insideH w:val="nil"/>
          <w:insideV w:val="nil"/>
        </w:tblBorders>
        <w:tblLayout w:type="fixed"/>
        <w:tblCellMar>
          <w:top w:w="120" w:type="dxa"/>
          <w:left w:w="200" w:type="dxa"/>
          <w:bottom w:w="120" w:type="dxa"/>
          <w:right w:w="160" w:type="dxa"/>
        </w:tblCellMar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color="auto" w:fill="EEF3F8"/>
          </w:tcPr>
          <w:p>
            <w:pPr>
              <w:spacing w:after="40"/>
            </w:pPr>
            <w:r/>
            <w:r>
              <w:rPr>
                <w:b/>
                <w:color w:val="0E7C86"/>
                <w:sz w:val="17"/>
              </w:rPr>
              <w:t>THE ANSWER</w:t>
            </w:r>
          </w:p>
          <w:p>
            <w:pPr>
              <w:spacing w:after="0"/>
            </w:pPr>
            <w:r>
              <w:rPr>
                <w:color w:val="1B2A3A"/>
                <w:sz w:val="22"/>
              </w:rPr>
              <w:t>Move 18,000 customer accounts to the new portal by 31 March 2027 for £1.35M, retiring the legacy stack and cutting support tickets by 30%.</w:t>
            </w:r>
          </w:p>
        </w:tc>
      </w:tr>
    </w:tbl>
    <w:p>
      <w:pPr>
        <w:spacing w:after="40"/>
      </w:pPr>
    </w:p>
    <w:p>
      <w:pPr>
        <w:spacing w:after="360"/>
      </w:pPr>
    </w:p>
    <w:tbl>
      <w:tblPr>
        <w:tblW w:type="auto" w:w="0"/>
        <w:tblBorders>
          <w:top w:val="single" w:sz="4" w:space="0" w:color="C9D2DC"/>
          <w:left w:val="nil"/>
          <w:bottom w:val="single" w:sz="4" w:space="0" w:color="C9D2DC"/>
          <w:right w:val="nil"/>
          <w:insideH w:val="single" w:sz="4" w:space="0" w:color="C9D2DC"/>
          <w:insideV w:val="nil"/>
        </w:tblBorders>
        <w:tblLayout w:type="fixed"/>
        <w:tblCellMar>
          <w:top w:w="50" w:type="dxa"/>
          <w:left w:w="0" w:type="dxa"/>
          <w:bottom w:w="50" w:type="dxa"/>
          <w:right w:w="100" w:type="dxa"/>
        </w:tblCellMar>
        <w:tblLook w:firstColumn="1" w:firstRow="1" w:lastColumn="0" w:lastRow="0" w:noHBand="0" w:noVBand="1" w:val="04A0"/>
      </w:tblPr>
      <w:tblGrid>
        <w:gridCol w:w="2381"/>
        <w:gridCol w:w="6917"/>
      </w:tblGrid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SPONSOR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Grace Mensah, Chief Customer Officer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PROJECT MANAGER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Luis Ortega, PMO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BUDGET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£1.35M capex · £180k contingency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TIMELINE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1 November 2026 – 31 March 2027</w:t>
            </w:r>
          </w:p>
        </w:tc>
      </w:tr>
      <w:tr>
        <w:tc>
          <w:tcPr>
            <w:tcW w:type="dxa" w:w="2381"/>
          </w:tcPr>
          <w:p>
            <w:pPr>
              <w:spacing w:after="0" w:line="252" w:lineRule="auto"/>
            </w:pPr>
            <w:r/>
            <w:r>
              <w:rPr>
                <w:b/>
                <w:color w:val="5B6B7B"/>
                <w:sz w:val="17"/>
              </w:rPr>
              <w:t>STATUS</w:t>
            </w:r>
          </w:p>
        </w:tc>
        <w:tc>
          <w:tcPr>
            <w:tcW w:type="dxa" w:w="69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Approved for mobilisation</w:t>
            </w:r>
          </w:p>
        </w:tc>
      </w:tr>
    </w:tbl>
    <w:p>
      <w:pPr>
        <w:spacing w:after="40"/>
      </w:pPr>
    </w:p>
    <w:p>
      <w:pPr>
        <w:spacing w:after="400"/>
      </w:pPr>
    </w:p>
    <w:p>
      <w:pPr>
        <w:spacing w:after="80"/>
      </w:pPr>
      <w:r>
        <w:rPr>
          <w:b/>
          <w:color w:val="5B6B7B"/>
          <w:sz w:val="17"/>
        </w:rPr>
        <w:t>IN THIS DOCUMENT</w:t>
      </w:r>
    </w:p>
    <w:tbl>
      <w:tblPr>
        <w:tblW w:type="auto" w:w="0"/>
        <w:tblBorders>
          <w:top w:val="single" w:sz="4" w:space="0" w:color="C9D2DC"/>
          <w:left w:val="nil"/>
          <w:bottom w:val="single" w:sz="4" w:space="0" w:color="C9D2DC"/>
          <w:right w:val="nil"/>
          <w:insideH w:val="single" w:sz="4" w:space="0" w:color="C9D2DC"/>
          <w:insideV w:val="nil"/>
        </w:tblBorders>
        <w:tblLayout w:type="fixed"/>
        <w:tblCellMar>
          <w:top w:w="50" w:type="dxa"/>
          <w:left w:w="0" w:type="dxa"/>
          <w:bottom w:w="50" w:type="dxa"/>
          <w:right w:w="80" w:type="dxa"/>
        </w:tblCellMar>
        <w:tblLook w:firstColumn="1" w:firstRow="1" w:lastColumn="0" w:lastRow="0" w:noHBand="0" w:noVBand="1" w:val="04A0"/>
      </w:tblPr>
      <w:tblGrid>
        <w:gridCol w:w="680"/>
        <w:gridCol w:w="8618"/>
      </w:tblGrid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01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Objectives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02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Scope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03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Milestones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04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Roles and responsibilities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05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Risks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/>
                <w:color w:val="0E7C86"/>
                <w:sz w:val="20"/>
              </w:rPr>
              <w:t>06</w:t>
            </w:r>
          </w:p>
        </w:tc>
        <w:tc>
          <w:tcPr>
            <w:tcW w:type="dxa" w:w="861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20"/>
              </w:rPr>
              <w:t>Governance</w:t>
            </w:r>
          </w:p>
        </w:tc>
      </w:tr>
    </w:tbl>
    <w:p>
      <w:r>
        <w:br w:type="page"/>
      </w:r>
    </w:p>
    <w:p>
      <w:pPr>
        <w:pStyle w:val="Heading1"/>
      </w:pPr>
      <w:r>
        <w:t>1. Objectives</w:t>
      </w:r>
    </w:p>
    <w:tbl>
      <w:tblPr>
        <w:tblW w:type="auto" w:w="0"/>
        <w:jc w:val="center"/>
        <w:tblBorders>
          <w:top w:val="nil"/>
          <w:left w:val="nil"/>
          <w:bottom w:val="single" w:sz="8" w:space="0" w:color="1F3A5F"/>
          <w:right w:val="nil"/>
          <w:insideH w:val="single" w:sz="4" w:space="0" w:color="C9D2DC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494"/>
        <w:gridCol w:w="3402"/>
        <w:gridCol w:w="1587"/>
        <w:gridCol w:w="1814"/>
      </w:tblGrid>
      <w:tr>
        <w:trPr>
          <w:tblHeader/>
        </w:trPr>
        <w:tc>
          <w:tcPr>
            <w:tcW w:type="dxa" w:w="2494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Objective</w:t>
            </w:r>
          </w:p>
        </w:tc>
        <w:tc>
          <w:tcPr>
            <w:tcW w:type="dxa" w:w="3402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FFFFFF"/>
                <w:sz w:val="18"/>
              </w:rPr>
              <w:t>Target</w:t>
            </w:r>
          </w:p>
        </w:tc>
        <w:tc>
          <w:tcPr>
            <w:tcW w:type="dxa" w:w="1814"/>
            <w:shd w:val="clear" w:color="auto" w:fill="1F3A5F"/>
          </w:tcPr>
          <w:p>
            <w:pPr>
              <w:spacing w:after="0" w:line="252" w:lineRule="auto"/>
              <w:jc w:val="right"/>
            </w:pPr>
            <w:r/>
            <w:r>
              <w:rPr>
                <w:b/>
                <w:color w:val="FFFFFF"/>
                <w:sz w:val="18"/>
              </w:rPr>
              <w:t>Baseline</w:t>
            </w:r>
          </w:p>
        </w:tc>
      </w:tr>
      <w:tr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Reduce support demand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Tickets per 1,000 accounts / month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≤ 42</w:t>
            </w:r>
          </w:p>
        </w:tc>
        <w:tc>
          <w:tcPr>
            <w:tcW w:type="dxa" w:w="181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60</w:t>
            </w:r>
          </w:p>
        </w:tc>
      </w:tr>
      <w:tr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Faster self-service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Median time to download an invoice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&lt; 30 s</w:t>
            </w:r>
          </w:p>
        </w:tc>
        <w:tc>
          <w:tcPr>
            <w:tcW w:type="dxa" w:w="181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2 min 40 s</w:t>
            </w:r>
          </w:p>
        </w:tc>
      </w:tr>
      <w:tr>
        <w:tc>
          <w:tcPr>
            <w:tcW w:type="dxa" w:w="249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Retire legacy stack</w:t>
            </w:r>
          </w:p>
        </w:tc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Legacy servers decommissioned</w:t>
            </w:r>
          </w:p>
        </w:tc>
        <w:tc>
          <w:tcPr>
            <w:tcW w:type="dxa" w:w="1587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100%</w:t>
            </w:r>
          </w:p>
        </w:tc>
        <w:tc>
          <w:tcPr>
            <w:tcW w:type="dxa" w:w="1814"/>
          </w:tcPr>
          <w:p>
            <w:pPr>
              <w:spacing w:after="0" w:line="252" w:lineRule="auto"/>
              <w:jc w:val="right"/>
            </w:pPr>
            <w:r/>
            <w:r>
              <w:rPr>
                <w:b w:val="0"/>
                <w:color w:val="1B2A3A"/>
                <w:sz w:val="19"/>
              </w:rPr>
              <w:t>0%</w:t>
            </w:r>
          </w:p>
        </w:tc>
      </w:tr>
    </w:tbl>
    <w:p>
      <w:pPr>
        <w:spacing w:after="80"/>
      </w:pPr>
    </w:p>
    <w:p>
      <w:pPr>
        <w:pStyle w:val="Heading1"/>
      </w:pPr>
      <w:r>
        <w:t>2. Scope</w:t>
      </w:r>
    </w:p>
    <w:tbl>
      <w:tblPr>
        <w:tblW w:type="auto" w:w="0"/>
        <w:tblBorders>
          <w:top w:val="nil"/>
          <w:left w:val="nil"/>
          <w:bottom w:val="nil"/>
          <w:right w:val="nil"/>
          <w:insideH w:val="nil"/>
          <w:insideV w:val="single" w:sz="4" w:space="0" w:color="C9D2DC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EEF3F8"/>
          </w:tcPr>
          <w:p>
            <w:pPr>
              <w:spacing w:after="0" w:line="252" w:lineRule="auto"/>
            </w:pPr>
            <w:r/>
            <w:r>
              <w:rPr>
                <w:b/>
                <w:color w:val="1E7B4F"/>
                <w:sz w:val="17"/>
              </w:rPr>
              <w:t>IN SCOPE</w:t>
            </w:r>
          </w:p>
          <w:p>
            <w:pPr>
              <w:spacing w:after="40"/>
            </w:pPr>
            <w:r>
              <w:rPr>
                <w:sz w:val="20"/>
              </w:rPr>
              <w:t>•  Account, billing and usage pages</w:t>
            </w:r>
          </w:p>
          <w:p>
            <w:pPr>
              <w:spacing w:after="40"/>
            </w:pPr>
            <w:r>
              <w:rPr>
                <w:sz w:val="20"/>
              </w:rPr>
              <w:t>•  SSO with customer identity providers</w:t>
            </w:r>
          </w:p>
          <w:p>
            <w:pPr>
              <w:spacing w:after="40"/>
            </w:pPr>
            <w:r>
              <w:rPr>
                <w:sz w:val="20"/>
              </w:rPr>
              <w:t>•  Migration of 18,000 accounts</w:t>
            </w:r>
          </w:p>
          <w:p>
            <w:pPr>
              <w:spacing w:after="40"/>
            </w:pPr>
            <w:r>
              <w:rPr>
                <w:sz w:val="20"/>
              </w:rPr>
              <w:t>•  Accessibility to WCAG 2.2 AA</w:t>
            </w:r>
          </w:p>
        </w:tc>
        <w:tc>
          <w:tcPr>
            <w:tcW w:type="dxa" w:w="4649"/>
            <w:shd w:val="clear" w:color="auto" w:fill="EEF3F8"/>
          </w:tcPr>
          <w:p>
            <w:pPr>
              <w:spacing w:after="0" w:line="252" w:lineRule="auto"/>
            </w:pPr>
            <w:r/>
            <w:r>
              <w:rPr>
                <w:b/>
                <w:color w:val="B42318"/>
                <w:sz w:val="17"/>
              </w:rPr>
              <w:t>OUT OF SCOPE</w:t>
            </w:r>
          </w:p>
          <w:p>
            <w:pPr>
              <w:spacing w:after="40"/>
            </w:pPr>
            <w:r>
              <w:rPr>
                <w:sz w:val="20"/>
              </w:rPr>
              <w:t>•  Mobile apps (FY28 roadmap)</w:t>
            </w:r>
          </w:p>
          <w:p>
            <w:pPr>
              <w:spacing w:after="40"/>
            </w:pPr>
            <w:r>
              <w:rPr>
                <w:sz w:val="20"/>
              </w:rPr>
              <w:t>•  Partner portal</w:t>
            </w:r>
          </w:p>
          <w:p>
            <w:pPr>
              <w:spacing w:after="40"/>
            </w:pPr>
            <w:r>
              <w:rPr>
                <w:sz w:val="20"/>
              </w:rPr>
              <w:t>•  Changes to the billing engine</w:t>
            </w:r>
          </w:p>
          <w:p>
            <w:pPr>
              <w:spacing w:after="40"/>
            </w:pPr>
            <w:r>
              <w:rPr>
                <w:sz w:val="20"/>
              </w:rPr>
              <w:t>•  New pricing plans</w:t>
            </w:r>
          </w:p>
        </w:tc>
      </w:tr>
    </w:tbl>
    <w:p>
      <w:pPr>
        <w:spacing w:after="80"/>
      </w:pPr>
    </w:p>
    <w:p>
      <w:pPr>
        <w:pStyle w:val="Heading1"/>
      </w:pPr>
      <w:r>
        <w:t>3. Milestones</w:t>
      </w:r>
    </w:p>
    <w:tbl>
      <w:tblPr>
        <w:tblW w:type="auto" w:w="0"/>
        <w:jc w:val="center"/>
        <w:tblBorders>
          <w:top w:val="nil"/>
          <w:left w:val="nil"/>
          <w:bottom w:val="single" w:sz="8" w:space="0" w:color="1F3A5F"/>
          <w:right w:val="nil"/>
          <w:insideH w:val="single" w:sz="4" w:space="0" w:color="C9D2DC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80"/>
        <w:gridCol w:w="3855"/>
        <w:gridCol w:w="1587"/>
        <w:gridCol w:w="1587"/>
        <w:gridCol w:w="1587"/>
      </w:tblGrid>
      <w:tr>
        <w:trPr>
          <w:tblHeader/>
        </w:trPr>
        <w:tc>
          <w:tcPr>
            <w:tcW w:type="dxa" w:w="680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855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1587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M1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Discovery and architecture sign-off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L. Ortega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22 Nov 2026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/>
                <w:color w:val="1E7B4F"/>
                <w:sz w:val="19"/>
              </w:rPr>
              <w:t>Complete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M2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Design system and prototypes tested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H. Kim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13 Dec 2026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/>
                <w:color w:val="1E7B4F"/>
                <w:sz w:val="19"/>
              </w:rPr>
              <w:t>On track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M3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Beta with 500 accounts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S. Patel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31 Jan 2027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/>
                <w:color w:val="1E7B4F"/>
                <w:sz w:val="19"/>
              </w:rPr>
              <w:t>On track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M4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Migration waves 1–3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S. Patel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10 Mar 2027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/>
                <w:color w:val="B76E00"/>
                <w:sz w:val="19"/>
              </w:rPr>
              <w:t>At risk</w:t>
            </w:r>
          </w:p>
        </w:tc>
      </w:tr>
      <w:tr>
        <w:tc>
          <w:tcPr>
            <w:tcW w:type="dxa" w:w="680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M5</w:t>
            </w:r>
          </w:p>
        </w:tc>
        <w:tc>
          <w:tcPr>
            <w:tcW w:type="dxa" w:w="3855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Legacy decommissioned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R. Chen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31 Mar 2027</w:t>
            </w:r>
          </w:p>
        </w:tc>
        <w:tc>
          <w:tcPr>
            <w:tcW w:type="dxa" w:w="1587"/>
          </w:tcPr>
          <w:p>
            <w:pPr>
              <w:spacing w:after="0" w:line="252" w:lineRule="auto"/>
            </w:pPr>
            <w:r/>
            <w:r>
              <w:rPr>
                <w:b/>
                <w:color w:val="1E7B4F"/>
                <w:sz w:val="19"/>
              </w:rPr>
              <w:t>On track</w:t>
            </w:r>
          </w:p>
        </w:tc>
      </w:tr>
    </w:tbl>
    <w:p>
      <w:pPr>
        <w:spacing w:after="80"/>
      </w:pPr>
    </w:p>
    <w:p>
      <w:pPr>
        <w:pStyle w:val="Heading1"/>
      </w:pPr>
      <w:r>
        <w:t>4. Roles and responsibilities</w:t>
      </w:r>
    </w:p>
    <w:tbl>
      <w:tblPr>
        <w:tblW w:type="auto" w:w="0"/>
        <w:jc w:val="center"/>
        <w:tblBorders>
          <w:top w:val="nil"/>
          <w:left w:val="nil"/>
          <w:bottom w:val="single" w:sz="8" w:space="0" w:color="1F3A5F"/>
          <w:right w:val="nil"/>
          <w:insideH w:val="single" w:sz="4" w:space="0" w:color="C9D2DC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402"/>
        <w:gridCol w:w="1474"/>
        <w:gridCol w:w="1474"/>
        <w:gridCol w:w="1474"/>
        <w:gridCol w:w="1474"/>
      </w:tblGrid>
      <w:tr>
        <w:trPr>
          <w:tblHeader/>
        </w:trPr>
        <w:tc>
          <w:tcPr>
            <w:tcW w:type="dxa" w:w="3402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Sponsor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PM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Engineering</w:t>
            </w:r>
          </w:p>
        </w:tc>
        <w:tc>
          <w:tcPr>
            <w:tcW w:type="dxa" w:w="1474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Support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Scope changes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A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C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I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Release go / no-go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A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C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C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Customer communications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I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A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I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</w:t>
            </w:r>
          </w:p>
        </w:tc>
      </w:tr>
      <w:tr>
        <w:tc>
          <w:tcPr>
            <w:tcW w:type="dxa" w:w="3402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Data migration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I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A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</w:t>
            </w:r>
          </w:p>
        </w:tc>
        <w:tc>
          <w:tcPr>
            <w:tcW w:type="dxa" w:w="1474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C</w:t>
            </w:r>
          </w:p>
        </w:tc>
      </w:tr>
    </w:tbl>
    <w:p>
      <w:pPr>
        <w:spacing w:after="80"/>
      </w:pPr>
    </w:p>
    <w:p>
      <w:r>
        <w:rPr>
          <w:color w:val="5B6B7B"/>
          <w:sz w:val="17"/>
        </w:rPr>
        <w:t>R = responsible · A = accountable · C = consulted · I = informed</w:t>
      </w:r>
    </w:p>
    <w:p>
      <w:pPr>
        <w:pStyle w:val="Heading1"/>
      </w:pPr>
      <w:r>
        <w:t>5. Risks</w:t>
      </w:r>
    </w:p>
    <w:tbl>
      <w:tblPr>
        <w:tblW w:type="auto" w:w="0"/>
        <w:jc w:val="center"/>
        <w:tblBorders>
          <w:top w:val="nil"/>
          <w:left w:val="nil"/>
          <w:bottom w:val="single" w:sz="8" w:space="0" w:color="1F3A5F"/>
          <w:right w:val="nil"/>
          <w:insideH w:val="single" w:sz="4" w:space="0" w:color="C9D2DC"/>
          <w:insideV w:val="nil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3288"/>
        <w:gridCol w:w="1134"/>
        <w:gridCol w:w="3515"/>
        <w:gridCol w:w="1360"/>
      </w:tblGrid>
      <w:tr>
        <w:trPr>
          <w:tblHeader/>
        </w:trPr>
        <w:tc>
          <w:tcPr>
            <w:tcW w:type="dxa" w:w="3288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3515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Response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 w:line="252" w:lineRule="auto"/>
            </w:pPr>
            <w:r/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Data quality in legacy accounts delays migration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/>
                <w:color w:val="B42318"/>
                <w:sz w:val="19"/>
              </w:rPr>
              <w:t>High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Cleansing sprint in December; automated validation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S. Patel</w:t>
            </w:r>
          </w:p>
        </w:tc>
      </w:tr>
      <w:tr>
        <w:tc>
          <w:tcPr>
            <w:tcW w:type="dxa" w:w="3288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Enterprise SSO configurations vary widely</w:t>
            </w:r>
          </w:p>
        </w:tc>
        <w:tc>
          <w:tcPr>
            <w:tcW w:type="dxa" w:w="1134"/>
          </w:tcPr>
          <w:p>
            <w:pPr>
              <w:spacing w:after="0" w:line="252" w:lineRule="auto"/>
            </w:pPr>
            <w:r/>
            <w:r>
              <w:rPr>
                <w:b/>
                <w:color w:val="B76E00"/>
                <w:sz w:val="19"/>
              </w:rPr>
              <w:t>Medium</w:t>
            </w:r>
          </w:p>
        </w:tc>
        <w:tc>
          <w:tcPr>
            <w:tcW w:type="dxa" w:w="3515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Early access for top 40 accounts</w:t>
            </w:r>
          </w:p>
        </w:tc>
        <w:tc>
          <w:tcPr>
            <w:tcW w:type="dxa" w:w="1361"/>
          </w:tcPr>
          <w:p>
            <w:pPr>
              <w:spacing w:after="0" w:line="252" w:lineRule="auto"/>
            </w:pPr>
            <w:r/>
            <w:r>
              <w:rPr>
                <w:b w:val="0"/>
                <w:color w:val="1B2A3A"/>
                <w:sz w:val="19"/>
              </w:rPr>
              <w:t>R. Chen</w:t>
            </w:r>
          </w:p>
        </w:tc>
      </w:tr>
    </w:tbl>
    <w:p>
      <w:pPr>
        <w:spacing w:after="80"/>
      </w:pPr>
    </w:p>
    <w:p>
      <w:pPr>
        <w:pStyle w:val="Heading1"/>
      </w:pPr>
      <w:r>
        <w:t>6. Governance</w:t>
      </w:r>
    </w:p>
    <w:p>
      <w:r>
        <w:t>Steering committee meets fortnightly; the PM issues a one-page status report every Friday. Changes above £25k or two weeks of schedule go to the sponsor for approval.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04" w:bottom="1134" w:left="130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B6B7B"/>
        <w:sz w:val="16"/>
      </w:rPr>
      <w:t xml:space="preserve">Northwind Analytics · PMO    ·    Page </w:t>
    </w:r>
    <w:fldSimple w:instr="PAGE">
      <w:r>
        <w:rPr>
          <w:color w:val="5B6B7B"/>
          <w:sz w:val="16"/>
        </w:rPr>
        <w:t>1</w:t>
      </w:r>
    </w:fldSimple>
    <w:r>
      <w:rPr>
        <w:color w:val="5B6B7B"/>
        <w:sz w:val="16"/>
      </w:rPr>
      <w:t xml:space="preserve"> of </w:t>
    </w:r>
    <w:fldSimple w:instr="NUMPAGES">
      <w:r>
        <w:rPr>
          <w:color w:val="5B6B7B"/>
          <w:sz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4" w:color="C9D2DC"/>
      </w:pBdr>
      <w:jc w:val="right"/>
    </w:pPr>
    <w:r>
      <w:rPr>
        <w:b/>
        <w:color w:val="5B6B7B"/>
        <w:sz w:val="16"/>
      </w:rPr>
      <w:t>PROJECT PLAN · CUSTOMER PORTAL REPLATFORM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="Calibri" w:hAnsi="Calibri" w:eastAsia="Calibri" w:cs="Calibri"/>
      <w:b/>
      <w:bCs/>
      <w:i w:val="0"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="Calibri" w:hAnsi="Calibri" w:eastAsia="Calibri" w:cs="Calibri"/>
      <w:b/>
      <w:bCs/>
      <w:i w:val="0"/>
      <w:color w:val="0E7C8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="Calibri" w:hAnsi="Calibri" w:eastAsia="Calibri" w:cs="Calibri"/>
      <w:b/>
      <w:bCs/>
      <w:i w:val="0"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i w:val="0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i w:val="0"/>
      <w:color w:val="1B2A3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Northwind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