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</w:pPr>
      <w:r>
        <w:rPr>
          <w:b/>
          <w:color w:val="0E7C86"/>
          <w:sz w:val="18"/>
        </w:rPr>
        <w:t>EXECUTIVE TEAM · STRATEGY OFFSITE PRE-READ</w:t>
      </w:r>
    </w:p>
    <w:p>
      <w:pPr>
        <w:spacing w:after="160" w:line="240" w:lineRule="auto"/>
      </w:pPr>
      <w:r>
        <w:rPr>
          <w:b/>
          <w:color w:val="1F3A5F"/>
          <w:sz w:val="56"/>
        </w:rPr>
        <w:t>Retail Media Networks: Market Size and Entry Options</w:t>
      </w:r>
    </w:p>
    <w:p>
      <w:pPr>
        <w:spacing w:after="360"/>
      </w:pPr>
      <w:r>
        <w:rPr>
          <w:color w:val="5B6B7B"/>
          <w:sz w:val="26"/>
        </w:rPr>
        <w:t>Research brief · Strategy &amp; Insights team</w:t>
      </w:r>
    </w:p>
    <w:p>
      <w:pPr>
        <w:pBdr>
          <w:bottom w:val="single" w:sz="18" w:space="1" w:color="0E7C86"/>
        </w:pBdr>
        <w:spacing w:after="360"/>
      </w:pPr>
    </w:p>
    <w:tbl>
      <w:tblPr>
        <w:tblW w:type="auto" w:w="0"/>
        <w:tblBorders>
          <w:top w:val="nil"/>
          <w:left w:val="single" w:sz="24" w:space="0" w:color="0E7C86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0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pPr>
              <w:spacing w:after="40"/>
            </w:pPr>
            <w:r/>
            <w:r>
              <w:rPr>
                <w:b/>
                <w:color w:val="0E7C86"/>
                <w:sz w:val="17"/>
              </w:rPr>
              <w:t>THE ANSWER</w:t>
            </w:r>
          </w:p>
          <w:p>
            <w:pPr>
              <w:spacing w:after="0"/>
            </w:pPr>
            <w:r>
              <w:rPr>
                <w:color w:val="1B2A3A"/>
                <w:sz w:val="22"/>
              </w:rPr>
              <w:t>Retail media is a £5.9B UK market growing 19% a year; a partner-led entry through two grocery networks reaches 60% of addressable spend for under £1M.</w:t>
            </w:r>
          </w:p>
        </w:tc>
      </w:tr>
    </w:tbl>
    <w:p>
      <w:pPr>
        <w:spacing w:after="40"/>
      </w:pPr>
    </w:p>
    <w:p>
      <w:pPr>
        <w:spacing w:after="360"/>
      </w:pPr>
    </w:p>
    <w:tbl>
      <w:tblPr>
        <w:tblW w:type="auto" w:w="0"/>
        <w:tblBorders>
          <w:top w:val="single" w:sz="4" w:space="0" w:color="C9D2DC"/>
          <w:left w:val="nil"/>
          <w:bottom w:val="single" w:sz="4" w:space="0" w:color="C9D2DC"/>
          <w:right w:val="nil"/>
          <w:insideH w:val="single" w:sz="4" w:space="0" w:color="C9D2DC"/>
          <w:insideV w:val="nil"/>
        </w:tblBorders>
        <w:tblLayout w:type="fixed"/>
        <w:tblCellMar>
          <w:top w:w="50" w:type="dxa"/>
          <w:left w:w="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PREPARED BY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Amara Lindqvist, Head of Strategy &amp; Insights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REVIEWED BY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Tom Hartley, Chief Strategy Officer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DATE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6 October 2026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CONFIDENCE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Medium — sizing triangulated from three independent sources</w:t>
            </w:r>
          </w:p>
        </w:tc>
      </w:tr>
    </w:tbl>
    <w:p>
      <w:pPr>
        <w:spacing w:after="40"/>
      </w:pPr>
    </w:p>
    <w:p>
      <w:pPr>
        <w:spacing w:after="400"/>
      </w:pPr>
    </w:p>
    <w:p>
      <w:pPr>
        <w:spacing w:after="80"/>
      </w:pPr>
      <w:r>
        <w:rPr>
          <w:b/>
          <w:color w:val="5B6B7B"/>
          <w:sz w:val="17"/>
        </w:rPr>
        <w:t>IN THIS DOCUMENT</w:t>
      </w:r>
    </w:p>
    <w:tbl>
      <w:tblPr>
        <w:tblW w:type="auto" w:w="0"/>
        <w:tblBorders>
          <w:top w:val="single" w:sz="4" w:space="0" w:color="C9D2DC"/>
          <w:left w:val="nil"/>
          <w:bottom w:val="single" w:sz="4" w:space="0" w:color="C9D2DC"/>
          <w:right w:val="nil"/>
          <w:insideH w:val="single" w:sz="4" w:space="0" w:color="C9D2DC"/>
          <w:insideV w:val="nil"/>
        </w:tblBorders>
        <w:tblLayout w:type="fixed"/>
        <w:tblCellMar>
          <w:top w:w="50" w:type="dxa"/>
          <w:left w:w="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680"/>
        <w:gridCol w:w="8618"/>
      </w:tblGrid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01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Summary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02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Key findings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03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Market sizing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04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Entry options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05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Methodology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06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Sources</w:t>
            </w:r>
          </w:p>
        </w:tc>
      </w:tr>
    </w:tbl>
    <w:p>
      <w:r>
        <w:br w:type="page"/>
      </w:r>
    </w:p>
    <w:p>
      <w:pPr>
        <w:pStyle w:val="Heading1"/>
      </w:pPr>
      <w:r>
        <w:t>Summary</w:t>
      </w:r>
    </w:p>
    <w:p>
      <w:r>
        <w:t>Retail media networks (RMNs) let retailers sell advertising against their first-party shopper data. Spend is consolidating around the five largest grocers, and the measurement gap they leave is the opening for an analytics vendor like us.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single" w:sz="4" w:space="0" w:color="C9D2DC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/>
            </w:pPr>
            <w:r/>
            <w:r>
              <w:rPr>
                <w:b/>
                <w:color w:val="1F3A5F"/>
                <w:sz w:val="40"/>
              </w:rPr>
              <w:t>£5.9B</w:t>
            </w:r>
          </w:p>
          <w:p>
            <w:pPr>
              <w:spacing w:after="0"/>
            </w:pPr>
            <w:r>
              <w:rPr>
                <w:b/>
                <w:color w:val="1B2A3A"/>
                <w:sz w:val="18"/>
              </w:rPr>
              <w:t>UK RMN spend, 2026</w:t>
            </w:r>
          </w:p>
          <w:p>
            <w:pPr>
              <w:spacing w:after="0"/>
            </w:pPr>
            <w:r>
              <w:rPr>
                <w:color w:val="5B6B7B"/>
                <w:sz w:val="17"/>
              </w:rPr>
              <w:t>Up from £4.9B in 2025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b/>
                <w:color w:val="1F3A5F"/>
                <w:sz w:val="40"/>
              </w:rPr>
              <w:t>19%</w:t>
            </w:r>
          </w:p>
          <w:p>
            <w:pPr>
              <w:spacing w:after="0"/>
            </w:pPr>
            <w:r>
              <w:rPr>
                <w:b/>
                <w:color w:val="1B2A3A"/>
                <w:sz w:val="18"/>
              </w:rPr>
              <w:t>CAGR 2026–2030</w:t>
            </w:r>
          </w:p>
          <w:p>
            <w:pPr>
              <w:spacing w:after="0"/>
            </w:pPr>
            <w:r>
              <w:rPr>
                <w:color w:val="1E7B4F"/>
                <w:sz w:val="17"/>
              </w:rPr>
              <w:t>Fastest-growing ad channel</w:t>
            </w:r>
          </w:p>
        </w:tc>
        <w:tc>
          <w:tcPr>
            <w:tcW w:type="dxa" w:w="3099"/>
          </w:tcPr>
          <w:p>
            <w:pPr>
              <w:spacing w:after="0"/>
            </w:pPr>
            <w:r/>
            <w:r>
              <w:rPr>
                <w:b/>
                <w:color w:val="1F3A5F"/>
                <w:sz w:val="40"/>
              </w:rPr>
              <w:t>62%</w:t>
            </w:r>
          </w:p>
          <w:p>
            <w:pPr>
              <w:spacing w:after="0"/>
            </w:pPr>
            <w:r>
              <w:rPr>
                <w:b/>
                <w:color w:val="1B2A3A"/>
                <w:sz w:val="18"/>
              </w:rPr>
              <w:t>Share of top-5 grocers</w:t>
            </w:r>
          </w:p>
          <w:p>
            <w:pPr>
              <w:spacing w:after="0"/>
            </w:pPr>
            <w:r>
              <w:rPr>
                <w:color w:val="B76E00"/>
                <w:sz w:val="17"/>
              </w:rPr>
              <w:t>Concentration rising</w:t>
            </w:r>
          </w:p>
        </w:tc>
      </w:tr>
    </w:tbl>
    <w:p>
      <w:pPr>
        <w:spacing w:after="40"/>
      </w:pPr>
    </w:p>
    <w:p>
      <w:pPr>
        <w:pStyle w:val="Heading1"/>
      </w:pPr>
      <w:r>
        <w:t>Key findings</w:t>
      </w:r>
    </w:p>
    <w:p>
      <w:pPr>
        <w:pStyle w:val="ListNumber"/>
      </w:pPr>
      <w:r>
        <w:rPr>
          <w:b/>
        </w:rPr>
        <w:t xml:space="preserve">Measurement is the unmet need. </w:t>
      </w:r>
      <w:r>
        <w:rPr>
          <w:b w:val="0"/>
        </w:rPr>
        <w:t>71% of brand marketers surveyed cannot compare return on spend across networks.</w:t>
      </w:r>
    </w:p>
    <w:p>
      <w:pPr>
        <w:pStyle w:val="ListNumber"/>
      </w:pPr>
      <w:r>
        <w:rPr>
          <w:b/>
        </w:rPr>
        <w:t xml:space="preserve">Networks will partner, not build. </w:t>
      </w:r>
      <w:r>
        <w:rPr>
          <w:b w:val="0"/>
        </w:rPr>
        <w:t>Four of the top five grocers already license third-party analytics.</w:t>
      </w:r>
    </w:p>
    <w:p>
      <w:pPr>
        <w:pStyle w:val="ListNumber"/>
      </w:pPr>
      <w:r>
        <w:rPr>
          <w:b/>
        </w:rPr>
        <w:t xml:space="preserve">Clean rooms are the entry ticket. </w:t>
      </w:r>
      <w:r>
        <w:rPr>
          <w:b w:val="0"/>
        </w:rPr>
        <w:t>Every network interviewed requires a privacy-safe data clean room integration.</w:t>
      </w:r>
    </w:p>
    <w:p>
      <w:pPr>
        <w:pStyle w:val="Heading1"/>
      </w:pPr>
      <w:r>
        <w:t>Market sizing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1474"/>
        <w:gridCol w:w="1474"/>
        <w:gridCol w:w="1360"/>
        <w:gridCol w:w="2041"/>
      </w:tblGrid>
      <w:tr>
        <w:trPr>
          <w:tblHeader/>
        </w:trPr>
        <w:tc>
          <w:tcPr>
            <w:tcW w:type="dxa" w:w="2948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2026 (£B)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2030 (£B)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CAGR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Our addressable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Grocery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3.7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7.2</w:t>
            </w:r>
          </w:p>
        </w:tc>
        <w:tc>
          <w:tcPr>
            <w:tcW w:type="dxa" w:w="1361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18.1%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High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General merchandise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1.3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2.8</w:t>
            </w:r>
          </w:p>
        </w:tc>
        <w:tc>
          <w:tcPr>
            <w:tcW w:type="dxa" w:w="1361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21.2%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Medium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Health &amp; beauty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0.6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1.3</w:t>
            </w:r>
          </w:p>
        </w:tc>
        <w:tc>
          <w:tcPr>
            <w:tcW w:type="dxa" w:w="1361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21.3%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Medium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Travel &amp; mobility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0.3</w:t>
            </w:r>
          </w:p>
        </w:tc>
        <w:tc>
          <w:tcPr>
            <w:tcW w:type="dxa" w:w="147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0.6</w:t>
            </w:r>
          </w:p>
        </w:tc>
        <w:tc>
          <w:tcPr>
            <w:tcW w:type="dxa" w:w="1361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18.9%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Low</w:t>
            </w:r>
          </w:p>
        </w:tc>
      </w:tr>
      <w:tr>
        <w:tc>
          <w:tcPr>
            <w:tcW w:type="dxa" w:w="2948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</w:pPr>
            <w:r/>
            <w:r>
              <w:rPr>
                <w:b/>
                <w:color w:val="1B2A3A"/>
                <w:sz w:val="19"/>
              </w:rPr>
              <w:t>Total</w:t>
            </w:r>
          </w:p>
        </w:tc>
        <w:tc>
          <w:tcPr>
            <w:tcW w:type="dxa" w:w="1474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5.9</w:t>
            </w:r>
          </w:p>
        </w:tc>
        <w:tc>
          <w:tcPr>
            <w:tcW w:type="dxa" w:w="1474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11.9</w:t>
            </w:r>
          </w:p>
        </w:tc>
        <w:tc>
          <w:tcPr>
            <w:tcW w:type="dxa" w:w="1361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19.2%</w:t>
            </w:r>
          </w:p>
        </w:tc>
        <w:tc>
          <w:tcPr>
            <w:tcW w:type="dxa" w:w="2041"/>
            <w:tcBorders>
              <w:top w:val="single" w:sz="8" w:space="0" w:color="1F3A5F"/>
            </w:tcBorders>
            <w:shd w:val="clear" w:color="auto" w:fill="EEF3F8"/>
          </w:tcPr>
          <w:p>
            <w:pPr>
              <w:spacing w:after="0" w:line="252" w:lineRule="auto"/>
            </w:pPr>
            <w:r/>
            <w:r>
              <w:rPr>
                <w:b/>
                <w:color w:val="1B2A3A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Entry options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1247"/>
        <w:gridCol w:w="1701"/>
        <w:gridCol w:w="2381"/>
      </w:tblGrid>
      <w:tr>
        <w:trPr>
          <w:tblHeader/>
        </w:trPr>
        <w:tc>
          <w:tcPr>
            <w:tcW w:type="dxa" w:w="3969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Time to revenue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/>
                <w:color w:val="1B2A3A"/>
                <w:sz w:val="19"/>
              </w:rPr>
              <w:t>A. Partner with two grocery networks</w:t>
            </w:r>
          </w:p>
        </w:tc>
        <w:tc>
          <w:tcPr>
            <w:tcW w:type="dxa" w:w="1247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1B2A3A"/>
                <w:sz w:val="19"/>
              </w:rPr>
              <w:t>£0.8M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color w:val="1B2A3A"/>
                <w:sz w:val="19"/>
              </w:rPr>
              <w:t>6 months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1B2A3A"/>
                <w:sz w:val="19"/>
              </w:rPr>
              <w:t>Recommended</w:t>
            </w:r>
          </w:p>
        </w:tc>
      </w:tr>
      <w:tr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B. Build a self-serve measurement product</w:t>
            </w:r>
          </w:p>
        </w:tc>
        <w:tc>
          <w:tcPr>
            <w:tcW w:type="dxa" w:w="124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£2.4M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14 months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Defer to FY28</w:t>
            </w:r>
          </w:p>
        </w:tc>
      </w:tr>
      <w:tr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C. Acquire a niche clean-room vendor</w:t>
            </w:r>
          </w:p>
        </w:tc>
        <w:tc>
          <w:tcPr>
            <w:tcW w:type="dxa" w:w="124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£9–12M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3 months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Not pursued</w:t>
            </w:r>
          </w:p>
        </w:tc>
      </w:tr>
    </w:tbl>
    <w:p>
      <w:pPr>
        <w:spacing w:after="80"/>
      </w:pPr>
    </w:p>
    <w:p>
      <w:pPr>
        <w:pStyle w:val="Heading1"/>
      </w:pPr>
      <w:r>
        <w:t>Methodology</w:t>
      </w:r>
    </w:p>
    <w:p>
      <w:r>
        <w:t>Sizing triangulates published ad-spend reports, retailer annual filings and 24 structured interviews (14 brand marketers, 6 network leads, 4 agency heads) conducted between July and September 2026. Growth rates are the median of the three sources.</w:t>
      </w:r>
    </w:p>
    <w:p>
      <w:pPr>
        <w:pStyle w:val="Heading1"/>
      </w:pPr>
      <w:r>
        <w:t>Sources</w:t>
      </w:r>
    </w:p>
    <w:p>
      <w:pPr>
        <w:pStyle w:val="ListBullet"/>
      </w:pPr>
      <w:r>
        <w:t>Industry ad-spend report, H1 2026 edition.</w:t>
      </w:r>
    </w:p>
    <w:p>
      <w:pPr>
        <w:pStyle w:val="ListBullet"/>
      </w:pPr>
      <w:r>
        <w:t>Annual reports of the five largest UK grocers, FY2025.</w:t>
      </w:r>
    </w:p>
    <w:p>
      <w:pPr>
        <w:pStyle w:val="ListBullet"/>
      </w:pPr>
      <w:r>
        <w:t>Strategy &amp; Insights interview programme, Jul–Sep 2026 (n = 24).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B"/>
        <w:sz w:val="16"/>
      </w:rPr>
      <w:t xml:space="preserve">Northwind Analytics · Strategy &amp; Insights    ·    Page </w:t>
    </w:r>
    <w:fldSimple w:instr="PAGE">
      <w:r>
        <w:rPr>
          <w:color w:val="5B6B7B"/>
          <w:sz w:val="16"/>
        </w:rPr>
        <w:t>1</w:t>
      </w:r>
    </w:fldSimple>
    <w:r>
      <w:rPr>
        <w:color w:val="5B6B7B"/>
        <w:sz w:val="16"/>
      </w:rPr>
      <w:t xml:space="preserve"> of </w:t>
    </w:r>
    <w:fldSimple w:instr="NUMPAGES">
      <w:r>
        <w:rPr>
          <w:color w:val="5B6B7B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2DC"/>
      </w:pBdr>
      <w:jc w:val="right"/>
    </w:pPr>
    <w:r>
      <w:rPr>
        <w:b/>
        <w:color w:val="5B6B7B"/>
        <w:sz w:val="16"/>
      </w:rPr>
      <w:t>RESEARCH BRIEF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i w:val="0"/>
      <w:color w:val="0E7C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 w:eastAsia="Calibri" w:cs="Calibri"/>
      <w:b/>
      <w:bCs/>
      <w:i w:val="0"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Northwind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