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</w:pPr>
      <w:r>
        <w:rPr>
          <w:b/>
          <w:color w:val="0E7C86"/>
          <w:sz w:val="18"/>
        </w:rPr>
        <w:t>BOARD OF DIRECTORS · MEETING OF 22 OCTOBER 2026</w:t>
      </w:r>
    </w:p>
    <w:p>
      <w:pPr>
        <w:spacing w:after="160" w:line="240" w:lineRule="auto"/>
      </w:pPr>
      <w:r>
        <w:rPr>
          <w:b/>
          <w:color w:val="1F3A5F"/>
          <w:sz w:val="56"/>
        </w:rPr>
        <w:t>FY27 Operating Plan and APAC Expansion</w:t>
      </w:r>
    </w:p>
    <w:p>
      <w:pPr>
        <w:spacing w:after="360"/>
      </w:pPr>
      <w:r>
        <w:rPr>
          <w:color w:val="5B6B7B"/>
          <w:sz w:val="26"/>
        </w:rPr>
        <w:t>Decision memo · Agenda item 4</w:t>
      </w:r>
    </w:p>
    <w:p>
      <w:pPr>
        <w:pBdr>
          <w:bottom w:val="single" w:sz="18" w:space="1" w:color="0E7C86"/>
        </w:pBdr>
        <w:spacing w:after="360"/>
      </w:pPr>
    </w:p>
    <w:tbl>
      <w:tblPr>
        <w:tblW w:type="auto" w:w="0"/>
        <w:tblBorders>
          <w:top w:val="nil"/>
          <w:left w:val="single" w:sz="24" w:space="0" w:color="0E7C86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pPr>
              <w:spacing w:after="40"/>
            </w:pPr>
            <w:r/>
            <w:r>
              <w:rPr>
                <w:b/>
                <w:color w:val="0E7C86"/>
                <w:sz w:val="17"/>
              </w:rPr>
              <w:t>THE ANSWER</w:t>
            </w:r>
          </w:p>
          <w:p>
            <w:pPr>
              <w:spacing w:after="0"/>
            </w:pPr>
            <w:r>
              <w:rPr>
                <w:color w:val="1B2A3A"/>
                <w:sz w:val="22"/>
              </w:rPr>
              <w:t>Approve the FY27 operating plan (£48.6M revenue, 14% EBITDA margin) and release £4.2M to open the Singapore hub in Q1 FY27, staged against two revenue gates.</w:t>
            </w:r>
          </w:p>
        </w:tc>
      </w:tr>
    </w:tbl>
    <w:p>
      <w:pPr>
        <w:spacing w:after="40"/>
      </w:pPr>
    </w:p>
    <w:p>
      <w:pPr>
        <w:spacing w:after="360"/>
      </w:pP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PREPARED BY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Priya Raman, Chief Financial Officer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SPONSOR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Daniel Okafor, Chief Executive Officer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DATE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8 October 2026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DECISION REQUIRED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Approve · resolution 2026-14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CLASSIFICATION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Board confidential — not for onward circulation</w:t>
            </w:r>
          </w:p>
        </w:tc>
      </w:tr>
    </w:tbl>
    <w:p>
      <w:pPr>
        <w:spacing w:after="40"/>
      </w:pPr>
    </w:p>
    <w:p>
      <w:pPr>
        <w:spacing w:after="400"/>
      </w:pPr>
    </w:p>
    <w:p>
      <w:pPr>
        <w:spacing w:after="80"/>
      </w:pPr>
      <w:r>
        <w:rPr>
          <w:b/>
          <w:color w:val="5B6B7B"/>
          <w:sz w:val="17"/>
        </w:rPr>
        <w:t>IN THIS DOCUMENT</w:t>
      </w: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680"/>
        <w:gridCol w:w="8618"/>
      </w:tblGrid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01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Decision required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02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Executive summary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03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FY27 operating plan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04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APAC expansion — staged release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05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Risks and mitigations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06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Recommendation and next steps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07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Appendix A — Assumptions</w:t>
            </w:r>
          </w:p>
        </w:tc>
      </w:tr>
    </w:tbl>
    <w:p>
      <w:r>
        <w:br w:type="page"/>
      </w:r>
    </w:p>
    <w:p>
      <w:pPr>
        <w:pStyle w:val="Heading1"/>
      </w:pPr>
      <w:r>
        <w:t>1. Decision required</w:t>
      </w:r>
    </w:p>
    <w:tbl>
      <w:tblPr>
        <w:tblW w:type="auto" w:w="0"/>
        <w:tblBorders>
          <w:top w:val="nil"/>
          <w:left w:val="single" w:sz="24" w:space="0" w:color="0E7C86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F3"/>
          </w:tcPr>
          <w:p>
            <w:pPr>
              <w:spacing w:after="40"/>
            </w:pPr>
            <w:r/>
            <w:r>
              <w:rPr>
                <w:b/>
                <w:color w:val="0E7C86"/>
                <w:sz w:val="17"/>
              </w:rPr>
              <w:t>RESOLUTION 2026-14</w:t>
            </w:r>
          </w:p>
          <w:p>
            <w:pPr>
              <w:spacing w:after="0"/>
            </w:pPr>
            <w:r>
              <w:rPr>
                <w:color w:val="1B2A3A"/>
                <w:sz w:val="22"/>
              </w:rPr>
              <w:t>That the Board approves the FY27 operating plan as set out in section 3, and authorises capital expenditure of up to £4.2M for the APAC hub, released in two tranches subject to the gates in section 4.</w:t>
            </w:r>
          </w:p>
        </w:tc>
      </w:tr>
    </w:tbl>
    <w:p>
      <w:pPr>
        <w:spacing w:after="40"/>
      </w:pPr>
    </w:p>
    <w:p>
      <w:pPr>
        <w:pStyle w:val="Heading1"/>
      </w:pPr>
      <w:r>
        <w:t>2. Executive summary</w:t>
      </w:r>
    </w:p>
    <w:p>
      <w:r>
        <w:t>FY26 closes 6% ahead of plan on revenue and on plan for EBITDA. The plan for FY27 holds core growth at 18% and adds APAC as a second growth engine without diluting margin below 12% in any quarter.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single" w:sz="4" w:space="0" w:color="C9D2DC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/>
            </w:pPr>
            <w:r/>
            <w:r>
              <w:rPr>
                <w:b/>
                <w:color w:val="1F3A5F"/>
                <w:sz w:val="40"/>
              </w:rPr>
              <w:t>£48.6M</w:t>
            </w:r>
          </w:p>
          <w:p>
            <w:pPr>
              <w:spacing w:after="0"/>
            </w:pPr>
            <w:r>
              <w:rPr>
                <w:b/>
                <w:color w:val="1B2A3A"/>
                <w:sz w:val="18"/>
              </w:rPr>
              <w:t>FY27 revenue</w:t>
            </w:r>
          </w:p>
          <w:p>
            <w:pPr>
              <w:spacing w:after="0"/>
            </w:pPr>
            <w:r>
              <w:rPr>
                <w:color w:val="1E7B4F"/>
                <w:sz w:val="17"/>
              </w:rPr>
              <w:t>+21% vs FY26 forecast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b/>
                <w:color w:val="1F3A5F"/>
                <w:sz w:val="40"/>
              </w:rPr>
              <w:t>14.2%</w:t>
            </w:r>
          </w:p>
          <w:p>
            <w:pPr>
              <w:spacing w:after="0"/>
            </w:pPr>
            <w:r>
              <w:rPr>
                <w:b/>
                <w:color w:val="1B2A3A"/>
                <w:sz w:val="18"/>
              </w:rPr>
              <w:t>EBITDA margin</w:t>
            </w:r>
          </w:p>
          <w:p>
            <w:pPr>
              <w:spacing w:after="0"/>
            </w:pPr>
            <w:r>
              <w:rPr>
                <w:color w:val="1E7B4F"/>
                <w:sz w:val="17"/>
              </w:rPr>
              <w:t>+1.1 pts vs FY26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b/>
                <w:color w:val="1F3A5F"/>
                <w:sz w:val="40"/>
              </w:rPr>
              <w:t>£4.2M</w:t>
            </w:r>
          </w:p>
          <w:p>
            <w:pPr>
              <w:spacing w:after="0"/>
            </w:pPr>
            <w:r>
              <w:rPr>
                <w:b/>
                <w:color w:val="1B2A3A"/>
                <w:sz w:val="18"/>
              </w:rPr>
              <w:t>APAC capex</w:t>
            </w:r>
          </w:p>
          <w:p>
            <w:pPr>
              <w:spacing w:after="0"/>
            </w:pPr>
            <w:r>
              <w:rPr>
                <w:color w:val="B76E00"/>
                <w:sz w:val="17"/>
              </w:rPr>
              <w:t>Two tranches, gated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Core business: </w:t>
      </w:r>
      <w:r>
        <w:rPr>
          <w:b w:val="0"/>
        </w:rPr>
        <w:t>renewals at 112% net revenue retention; pipeline cover of 3.1× for H1.</w:t>
      </w:r>
    </w:p>
    <w:p>
      <w:pPr>
        <w:pStyle w:val="ListBullet"/>
      </w:pPr>
      <w:r>
        <w:rPr>
          <w:b/>
        </w:rPr>
        <w:t xml:space="preserve">APAC: </w:t>
      </w:r>
      <w:r>
        <w:rPr>
          <w:b w:val="0"/>
        </w:rPr>
        <w:t>three anchor customers signed letters of intent worth £2.4M ARR combined.</w:t>
      </w:r>
    </w:p>
    <w:p>
      <w:pPr>
        <w:pStyle w:val="ListBullet"/>
      </w:pPr>
      <w:r>
        <w:rPr>
          <w:b/>
        </w:rPr>
        <w:t xml:space="preserve">Risk: </w:t>
      </w:r>
      <w:r>
        <w:rPr>
          <w:b w:val="0"/>
        </w:rPr>
        <w:t>hiring velocity in Singapore is the binding constraint, not demand.</w:t>
      </w:r>
    </w:p>
    <w:p>
      <w:pPr>
        <w:pStyle w:val="Heading1"/>
      </w:pPr>
      <w:r>
        <w:t>3. FY27 operating plan</w:t>
      </w:r>
    </w:p>
    <w:p>
      <w:r>
        <w:t>The plan below is the base case. Every line is shown against the FY26 forecast; the variance column is the one to read.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61"/>
        <w:gridCol w:w="1587"/>
        <w:gridCol w:w="1587"/>
        <w:gridCol w:w="1474"/>
        <w:gridCol w:w="1587"/>
      </w:tblGrid>
      <w:tr>
        <w:trPr>
          <w:tblHeader/>
        </w:trPr>
        <w:tc>
          <w:tcPr>
            <w:tcW w:type="dxa" w:w="306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£ millions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FY26 forecast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FY27 plan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Change %</w:t>
            </w:r>
          </w:p>
        </w:tc>
      </w:tr>
      <w:tr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Subscription revenue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35.1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42.3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+7.2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+20.5%</w:t>
            </w:r>
          </w:p>
        </w:tc>
      </w:tr>
      <w:tr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Services revenue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5.0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6.3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+1.3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+26.0%</w:t>
            </w:r>
          </w:p>
        </w:tc>
      </w:tr>
      <w:tr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  <w:t>Total revenue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40.1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48.6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+8.5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+21.2%</w:t>
            </w:r>
          </w:p>
        </w:tc>
      </w:tr>
      <w:tr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Gross profit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29.3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35.9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+6.6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+22.5%</w:t>
            </w:r>
          </w:p>
        </w:tc>
      </w:tr>
      <w:tr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Operating expenses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(24.6)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(29.0)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(4.4)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+17.9%</w:t>
            </w:r>
          </w:p>
        </w:tc>
      </w:tr>
      <w:tr>
        <w:tc>
          <w:tcPr>
            <w:tcW w:type="dxa" w:w="3061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  <w:t>EBITDA</w:t>
            </w:r>
          </w:p>
        </w:tc>
        <w:tc>
          <w:tcPr>
            <w:tcW w:type="dxa" w:w="1587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5.3</w:t>
            </w:r>
          </w:p>
        </w:tc>
        <w:tc>
          <w:tcPr>
            <w:tcW w:type="dxa" w:w="1587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6.9</w:t>
            </w:r>
          </w:p>
        </w:tc>
        <w:tc>
          <w:tcPr>
            <w:tcW w:type="dxa" w:w="1474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+1.6</w:t>
            </w:r>
          </w:p>
        </w:tc>
        <w:tc>
          <w:tcPr>
            <w:tcW w:type="dxa" w:w="1587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+30.2%</w:t>
            </w:r>
          </w:p>
        </w:tc>
      </w:tr>
    </w:tbl>
    <w:p>
      <w:pPr>
        <w:spacing w:after="80"/>
      </w:pPr>
    </w:p>
    <w:p>
      <w:pPr>
        <w:pStyle w:val="Heading1"/>
      </w:pPr>
      <w:r>
        <w:t>4. APAC expansion — staged release</w:t>
      </w:r>
    </w:p>
    <w:p>
      <w:r>
        <w:t>Capital is released in two tranches. The second tranche is only drawn if the first gate is met; if it is missed, management returns to the Board with options.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1247"/>
        <w:gridCol w:w="1360"/>
        <w:gridCol w:w="4762"/>
      </w:tblGrid>
      <w:tr>
        <w:trPr>
          <w:tblHeader/>
        </w:trPr>
        <w:tc>
          <w:tcPr>
            <w:tcW w:type="dxa" w:w="1928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Tranche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4762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Gate to unlock next tranche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1 — Hub set-up</w:t>
            </w:r>
          </w:p>
        </w:tc>
        <w:tc>
          <w:tcPr>
            <w:tcW w:type="dxa" w:w="124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£2.1M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Jan 2027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≥ £1.0M contracted ARR in APAC by 30 Jun 2027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2 — Scale team</w:t>
            </w:r>
          </w:p>
        </w:tc>
        <w:tc>
          <w:tcPr>
            <w:tcW w:type="dxa" w:w="124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£2.1M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Jul 2027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≥ £2.5M contracted ARR and 2 referenceable logos</w:t>
            </w:r>
          </w:p>
        </w:tc>
      </w:tr>
    </w:tbl>
    <w:p>
      <w:pPr>
        <w:spacing w:after="80"/>
      </w:pPr>
    </w:p>
    <w:p>
      <w:pPr>
        <w:pStyle w:val="Heading1"/>
      </w:pPr>
      <w:r>
        <w:t>5. Risks and mitigations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1134"/>
        <w:gridCol w:w="3742"/>
        <w:gridCol w:w="1247"/>
      </w:tblGrid>
      <w:tr>
        <w:trPr>
          <w:tblHeader/>
        </w:trPr>
        <w:tc>
          <w:tcPr>
            <w:tcW w:type="dxa" w:w="3175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742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Senior hiring in Singapore slips past Q2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/>
                <w:color w:val="B42318"/>
                <w:sz w:val="19"/>
              </w:rPr>
              <w:t>High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Two retained search firms; interim GM seconded from London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COO</w:t>
            </w:r>
          </w:p>
        </w:tc>
      </w:tr>
      <w:tr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FX exposure on SGD costs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/>
                <w:color w:val="B76E00"/>
                <w:sz w:val="19"/>
              </w:rPr>
              <w:t>Medium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Hedge 70% of committed SGD spend for 12 months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CFO</w:t>
            </w:r>
          </w:p>
        </w:tc>
      </w:tr>
      <w:tr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Data residency requirements (PDPA)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9"/>
              </w:rPr>
              <w:t>Low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Regional AWS tenancy live since August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CTO</w:t>
            </w:r>
          </w:p>
        </w:tc>
      </w:tr>
    </w:tbl>
    <w:p>
      <w:pPr>
        <w:spacing w:after="80"/>
      </w:pPr>
    </w:p>
    <w:p>
      <w:pPr>
        <w:pStyle w:val="Heading1"/>
      </w:pPr>
      <w:r>
        <w:t>6. Recommendation and next steps</w:t>
      </w:r>
    </w:p>
    <w:p>
      <w:pPr>
        <w:pStyle w:val="ListNumber"/>
      </w:pPr>
      <w:r>
        <w:rPr>
          <w:b/>
        </w:rPr>
        <w:t xml:space="preserve">Approve </w:t>
      </w:r>
      <w:r>
        <w:rPr>
          <w:b w:val="0"/>
        </w:rPr>
        <w:t>resolution 2026-14 at this meeting.</w:t>
      </w:r>
    </w:p>
    <w:p>
      <w:pPr>
        <w:pStyle w:val="ListNumber"/>
      </w:pPr>
      <w:r>
        <w:rPr>
          <w:b/>
        </w:rPr>
        <w:t xml:space="preserve">CFO </w:t>
      </w:r>
      <w:r>
        <w:rPr>
          <w:b w:val="0"/>
        </w:rPr>
        <w:t>to report tranche-1 gate progress at the April 2027 Board.</w:t>
      </w:r>
    </w:p>
    <w:p>
      <w:pPr>
        <w:pStyle w:val="ListNumber"/>
      </w:pPr>
      <w:r>
        <w:rPr>
          <w:b/>
        </w:rPr>
        <w:t xml:space="preserve">CEO </w:t>
      </w:r>
      <w:r>
        <w:rPr>
          <w:b w:val="0"/>
        </w:rPr>
        <w:t>to confirm the Singapore GM appointment by 31 January 2027.</w:t>
      </w:r>
    </w:p>
    <w:p>
      <w:pPr>
        <w:pStyle w:val="Heading1"/>
      </w:pPr>
      <w:r>
        <w:t>Appendix A — Assumptions</w:t>
      </w:r>
    </w:p>
    <w:p>
      <w:r>
        <w:rPr>
          <w:color w:val="5B6B7B"/>
          <w:sz w:val="19"/>
        </w:rPr>
        <w:t>Not required reading. Headcount grows from 212 to 251 FTE; blended salary inflation 4.5%; GBP/SGD at 1.72; no acquisitions assumed.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B"/>
        <w:sz w:val="16"/>
      </w:rPr>
      <w:t xml:space="preserve">Northwind Analytics · Board memo    ·    Page </w:t>
    </w:r>
    <w:fldSimple w:instr="PAGE">
      <w:r>
        <w:rPr>
          <w:color w:val="5B6B7B"/>
          <w:sz w:val="16"/>
        </w:rPr>
        <w:t>1</w:t>
      </w:r>
    </w:fldSimple>
    <w:r>
      <w:rPr>
        <w:color w:val="5B6B7B"/>
        <w:sz w:val="16"/>
      </w:rPr>
      <w:t xml:space="preserve"> of </w:t>
    </w:r>
    <w:fldSimple w:instr="NUMPAGES">
      <w:r>
        <w:rPr>
          <w:color w:val="5B6B7B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2DC"/>
      </w:pBdr>
      <w:jc w:val="right"/>
    </w:pPr>
    <w:r>
      <w:rPr>
        <w:b/>
        <w:color w:val="5B6B7B"/>
        <w:sz w:val="16"/>
      </w:rPr>
      <w:t>CONFIDENTIAL · BOARD OF DIRECTORS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i w:val="0"/>
      <w:color w:val="0E7C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 w:eastAsia="Calibri" w:cs="Calibri"/>
      <w:b/>
      <w:bCs/>
      <w:i w:val="0"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