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431753067615489d" /><Relationship Type="http://schemas.openxmlformats.org/package/2006/relationships/metadata/core-properties" Target="/docProps/core.xml" Id="Rf52b044175304e50" /><Relationship Type="http://schemas.openxmlformats.org/officeDocument/2006/relationships/extended-properties" Target="/docProps/app.xml" Id="R7f6e901dc75f4e89" /><Relationship Type="http://schemas.openxmlformats.org/officeDocument/2006/relationships/custom-properties" Target="/docProps/custom.xml" Id="Rb6e5bf14e6924e2e"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pPr>
      <w:r>
        <w:rPr>
          <w:b/>
          <w:sz w:val="48"/>
        </w:rPr>
        <w:t xml:space="preserve">Design &amp; IP Notes — Summary</w:t>
      </w:r>
    </w:p>
    <w:p w14:paraId="00100002" w14:textId="00100003">
      <w:pPr>
        <w:spacing w:after="200"/>
      </w:pPr>
      <w:r>
        <w:rPr>
          <w:sz w:val="22"/>
        </w:rPr>
        <w:t xml:space="preserve">This document summarizes the key ideas from the Design &amp; IP notes on the semiconductor value chain. The Design &amp; IP layer sits before fabrication and creates value through EDA software, reusable IP, verification systems, physical design workflows, and increasingly AI-enabled automation.</w:t>
      </w:r>
    </w:p>
    <w:p w14:paraId="00100004" w14:textId="00100005">
      <w:pPr>
        <w:pStyle w:val="Heading1"/>
        <w:spacing w:before="200" w:after="120"/>
      </w:pPr>
      <w:r>
        <w:rPr>
          <w:b/>
          <w:sz w:val="36"/>
        </w:rPr>
        <w:t xml:space="preserve">High-Level Takeaway</w:t>
      </w:r>
    </w:p>
    <w:p w14:paraId="00100006" w14:textId="00100007">
      <w:pPr>
        <w:spacing w:after="200"/>
      </w:pPr>
      <w:r>
        <w:rPr>
          <w:sz w:val="22"/>
        </w:rPr>
        <w:t xml:space="preserve">The semiconductor Design &amp; IP layer is highly software- and knowledge-intensive. It reduces chip-design risk, shortens development cycles, improves power-performance-area outcomes, and strongly influences manufacturability before a design reaches the fab.</w:t>
      </w:r>
    </w:p>
    <w:p w14:paraId="00100008" w14:textId="00100009">
      <w:pPr>
        <w:pStyle w:val="Heading1"/>
        <w:spacing w:before="200" w:after="120"/>
      </w:pPr>
      <w:r>
        <w:rPr>
          <w:b/>
          <w:sz w:val="36"/>
        </w:rPr>
        <w:t xml:space="preserve">Core Concepts Covered</w:t>
      </w:r>
    </w:p>
    <w:p w14:paraId="0010000A" w14:textId="0010000B">
      <w:pPr>
        <w:numPr>
          <w:ilvl w:val="0"/>
          <w:numId w:val="1"/>
        </w:numPr>
        <w:spacing w:after="80"/>
      </w:pPr>
      <w:r>
        <w:rPr>
          <w:sz w:val="22"/>
        </w:rPr>
        <w:t xml:space="preserve">Semiconductor design flow: Architecture moves into RTL, verification, synthesis, physical design, signoff, tapeout, and post-silicon validation, with feedback loops whenever later-stage issues force earlier design changes.</w:t>
      </w:r>
    </w:p>
    <w:p w14:paraId="0010000C" w14:textId="0010000D">
      <w:pPr>
        <w:numPr>
          <w:ilvl w:val="0"/>
          <w:numId w:val="1"/>
        </w:numPr>
        <w:spacing w:after="80"/>
      </w:pPr>
      <w:r>
        <w:rPr>
          <w:sz w:val="22"/>
        </w:rPr>
        <w:t xml:space="preserve">EDA oligopoly: Cadence and Synopsys dominate the design software stack. Core EDA is the largest revenue engine, while semiconductor IP is smaller but strategically important. Siemens EDA remains a major competitor, though standalone revenue is not disclosed.</w:t>
      </w:r>
    </w:p>
    <w:p w14:paraId="0010000E" w14:textId="0010000F">
      <w:pPr>
        <w:numPr>
          <w:ilvl w:val="0"/>
          <w:numId w:val="1"/>
        </w:numPr>
        <w:spacing w:after="80"/>
      </w:pPr>
      <w:r>
        <w:rPr>
          <w:sz w:val="22"/>
        </w:rPr>
        <w:t xml:space="preserve">Verification stack: Verification checks functional correctness, protocols, performance, edge cases, security, and low-power behavior using simulation, formal verification, emulation, debug, coverage, and signoff workflows.</w:t>
      </w:r>
    </w:p>
    <w:p w14:paraId="00100010" w14:textId="00100011">
      <w:pPr>
        <w:numPr>
          <w:ilvl w:val="0"/>
          <w:numId w:val="1"/>
        </w:numPr>
        <w:spacing w:after="80"/>
      </w:pPr>
      <w:r>
        <w:rPr>
          <w:sz w:val="22"/>
        </w:rPr>
        <w:t xml:space="preserve">IP ecosystem: Modern SoCs reuse connectivity, memory, compute, security, foundation, and analog/mixed-signal IP. IP can be hard, soft, firm, or chiplet/die-based, reducing engineering effort and integration risk.</w:t>
      </w:r>
    </w:p>
    <w:p w14:paraId="00100012" w14:textId="00100013">
      <w:pPr>
        <w:numPr>
          <w:ilvl w:val="0"/>
          <w:numId w:val="1"/>
        </w:numPr>
        <w:spacing w:after="80"/>
      </w:pPr>
      <w:r>
        <w:rPr>
          <w:sz w:val="22"/>
        </w:rPr>
        <w:t xml:space="preserve">Physical design stack: Gate-level logic is transformed into manufacturable layout through floorplanning, placement, clock tree synthesis, routing, extraction, static timing analysis, and signoff checks such as DRC, LVS, IR drop, EM, SI, power, and DFT.</w:t>
      </w:r>
    </w:p>
    <w:p w14:paraId="00100014" w14:textId="00100015">
      <w:pPr>
        <w:numPr>
          <w:ilvl w:val="0"/>
          <w:numId w:val="1"/>
        </w:numPr>
        <w:spacing w:after="200"/>
      </w:pPr>
      <w:r>
        <w:rPr>
          <w:sz w:val="22"/>
        </w:rPr>
        <w:t xml:space="preserve">AI in EDA: AI is being applied to design-space exploration, verification, synthesis, physical design, signoff, manufacturing analytics, and post-silicon optimization. It improves speed and quality but depends on good historical data, workflow integration, and trust in recommendations.</w:t>
      </w:r>
    </w:p>
    <w:p w14:paraId="00100016" w14:textId="0010001A">
      <w:pPr>
        <w:pStyle w:val="Normal"/>
        <w:spacing w:before="200" w:after="120"/>
      </w:pPr>
      <w:r>
        <w:rPr>
          <w:b/>
          <w:sz w:val="28"/>
        </w:rPr>
        <w:t xml:space="preserve">Business Implication</w:t>
      </w:r>
    </w:p>
    <w:p w14:paraId="00100018" w14:textId="00100019">
      <w:pPr>
        <w:spacing w:after="160"/>
      </w:pPr>
      <w:r>
        <w:rPr>
          <w:sz w:val="22"/>
        </w:rPr>
        <w:t xml:space="preserve">Manufacturing often receives the most attention, but the design layer captures major value before fabrication begins. EDA tools and IP vendors are critical because they enable faster chip development, better design quality, lower rework, and higher chances of first-pass silicon success.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336d8b1a5cfd4cde" /><Relationship Type="http://schemas.openxmlformats.org/officeDocument/2006/relationships/styles" Target="/word/styles.xml" Id="Rde42556d1d28491d" /><Relationship Type="http://schemas.openxmlformats.org/officeDocument/2006/relationships/theme" Target="/word/theme/theme1.xml" Id="R803f22a03d074a72" /><Relationship Type="http://schemas.openxmlformats.org/officeDocument/2006/relationships/numbering" Target="/word/numbering.xml" Id="R294213ff3563460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OfficeCLI/1.0.122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2026-06-27T04:21:27Z</dcterms:created>
  <cp:lastModifiedBy>OfficeCLI</cp:lastModifiedBy>
  <dcterms:modified xsi:type="dcterms:W3CDTF">2026-06-27T04:21:27Z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1.0.122</vt:lpwstr>
  </op:property>
  <op:property fmtid="{D5CDD505-2E9C-101B-9397-08002B2CF9AE}" pid="3" name="OfficeCLI.LastModified">
    <vt:lpwstr xmlns:vt="http://schemas.openxmlformats.org/officeDocument/2006/docPropsVTypes">2026-06-27T04:22:26Z</vt:lpwstr>
  </op:property>
</op:Properties>
</file>