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00000001">
      <w:pPr>
        <w:rPr>
          <w:b/>
          <w:bCs/>
          <w:sz w:val="46"/>
          <w:szCs w:val="46"/>
        </w:rPr>
      </w:pP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z w:val="46"/>
          <w:szCs w:val="46"/>
        </w:rPr>
        <w:t>Semiconductor Design &amp; IP — Explanatory Notes</w:t>
      </w:r>
    </w:p>
    <w:p w14:paraId="00000002">
      <w:pPr>
        <w:pStyle w:val="Heading2"/>
        <w:spacing w:after="80" w:lineRule="auto"/>
        <w:rPr>
          <w:b/>
          <w:bCs/>
          <w:sz w:val="34"/>
          <w:szCs w:val="34"/>
        </w:rPr>
      </w:pPr>
      <w:bookmarkStart w:id="0" w:name="_roiqmmfl1ozf"/>
      <w:r>
        <w:rPr>
          <w:rFonts w:ascii="Arial" w:hAnsi="Arial" w:eastAsia="Arial" w:cs="Arial"/>
          <w:b/>
          <w:bCs/>
          <w:sz w:val="34"/>
          <w:szCs w:val="34"/>
        </w:rPr>
        <w:t>Page 1: Semiconducto Design Flow – Master Diagram</w:t>
      </w:r>
      <w:bookmarkEnd w:id="0"/>
    </w:p>
    <w:p w14:paraId="00000003">
      <w:pPr>
        <w:spacing w:before="240" w:after="240" w:lineRule="auto"/>
        <w:rPr/>
      </w:pPr>
      <w:r>
        <w:rPr>
          <w:rFonts w:ascii="Arial" w:hAnsi="Arial" w:eastAsia="Arial" w:cs="Arial"/>
          <w:sz w:val="22"/>
          <w:szCs w:val="22"/>
        </w:rPr>
        <w:t>This page explains the end-to-end chip development lifecycle, starting from architecture definition and moving through design, verification, physical implementation, signoff, tapeout, manufacturing, and post-silicon validation.</w:t>
      </w:r>
    </w:p>
    <w:p w14:paraId="00000004">
      <w:pPr>
        <w:spacing w:before="240" w:after="240" w:lineRule="auto"/>
        <w:rPr/>
      </w:pPr>
      <w:r>
        <w:rPr>
          <w:rFonts w:ascii="Arial" w:hAnsi="Arial" w:eastAsia="Arial" w:cs="Arial"/>
          <w:sz w:val="22"/>
          <w:szCs w:val="22"/>
        </w:rPr>
        <w:t>The flow is not purely linear. Each stage can create feedback loops, where issues discovered later in the process may require changes to RTL, architecture, physical design, or verification strategy.</w:t>
      </w:r>
    </w:p>
    <w:p w14:paraId="00000005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1" w:name="_62edonxsgf4h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Key Points</w:t>
      </w:r>
      <w:bookmarkEnd w:id="1"/>
    </w:p>
    <w:p w14:paraId="00000006">
      <w:pPr>
        <w:numPr>
          <w:ilvl w:val="0"/>
          <w:numId w:val="1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The chip design process begins with architecture and system-level planning.</w:t>
      </w:r>
    </w:p>
    <w:p w14:paraId="00000007">
      <w:pPr>
        <w:numPr>
          <w:ilvl w:val="0"/>
          <w:numId w:val="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RTL design and verification form the core front-end design stage.</w:t>
      </w:r>
    </w:p>
    <w:p w14:paraId="00000008">
      <w:pPr>
        <w:numPr>
          <w:ilvl w:val="0"/>
          <w:numId w:val="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Logic synthesis converts RTL into a gate-level representation.</w:t>
      </w:r>
    </w:p>
    <w:p w14:paraId="00000009">
      <w:pPr>
        <w:numPr>
          <w:ilvl w:val="0"/>
          <w:numId w:val="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Physical design translates logic into a manufacturable chip layout.</w:t>
      </w:r>
    </w:p>
    <w:p w14:paraId="0000000A">
      <w:pPr>
        <w:numPr>
          <w:ilvl w:val="0"/>
          <w:numId w:val="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Signoff ensures that the design meets timing, power, reliability, and manufacturing rules.</w:t>
      </w:r>
    </w:p>
    <w:p w14:paraId="0000000B">
      <w:pPr>
        <w:numPr>
          <w:ilvl w:val="0"/>
          <w:numId w:val="1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Tapeout is the final release of design data to the foundry.</w:t>
      </w:r>
    </w:p>
    <w:p w14:paraId="0000000C">
      <w:pPr>
        <w:numPr>
          <w:ilvl w:val="0"/>
          <w:numId w:val="1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Post-silicon validation checks whether the fabricated chip performs as intended.</w:t>
      </w:r>
    </w:p>
    <w:p w14:paraId="0000000D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2" w:name="_jglohu7t85dv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Cross-Cutting Layers</w:t>
      </w:r>
      <w:bookmarkEnd w:id="2"/>
    </w:p>
    <w:p w14:paraId="0000000E">
      <w:pPr>
        <w:numPr>
          <w:ilvl w:val="0"/>
          <w:numId w:val="2"/>
        </w:numPr>
        <w:spacing w:before="24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IP &amp; Component Layer:</w:t>
      </w:r>
      <w:r>
        <w:rPr>
          <w:rFonts w:ascii="Arial" w:hAnsi="Arial" w:eastAsia="Arial" w:cs="Arial"/>
          <w:sz w:val="22"/>
          <w:szCs w:val="22"/>
        </w:rPr>
        <w:t xml:space="preserve"> Reusable building blocks such as interface IP, memory IP, processor IP, and security IP.</w:t>
      </w:r>
    </w:p>
    <w:p w14:paraId="0000000F">
      <w:pPr>
        <w:numPr>
          <w:ilvl w:val="0"/>
          <w:numId w:val="2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AI/Automation Layer:</w:t>
      </w:r>
      <w:r>
        <w:rPr>
          <w:rFonts w:ascii="Arial" w:hAnsi="Arial" w:eastAsia="Arial" w:cs="Arial"/>
          <w:sz w:val="22"/>
          <w:szCs w:val="22"/>
        </w:rPr>
        <w:t xml:space="preserve"> Used for verification, PPA optimization, routing, and hotspot prediction.</w:t>
      </w:r>
    </w:p>
    <w:p w14:paraId="00000010">
      <w:pPr>
        <w:numPr>
          <w:ilvl w:val="0"/>
          <w:numId w:val="2"/>
        </w:numPr>
        <w:spacing w:before="0" w:after="24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Data &amp; Flow Management:</w:t>
      </w:r>
      <w:r>
        <w:rPr>
          <w:rFonts w:ascii="Arial" w:hAnsi="Arial" w:eastAsia="Arial" w:cs="Arial"/>
          <w:sz w:val="22"/>
          <w:szCs w:val="22"/>
        </w:rPr>
        <w:t xml:space="preserve"> Version control, collaboration, and design data management across the lifecycle.</w:t>
      </w:r>
    </w:p>
    <w:p>
      <w:r>
        <w:pict>
          <v:rect style="width:0.0pt;height:1.5pt" o:hr="t" o:hrstd="t" o:hralign="center" fillcolor="#A0A0A0" stroked="f"/>
        </w:pict>
      </w:r>
    </w:p>
    <w:p w14:paraId="00000012">
      <w:pPr>
        <w:pStyle w:val="Heading2"/>
        <w:spacing w:after="80" w:lineRule="auto"/>
        <w:rPr>
          <w:b/>
          <w:bCs/>
          <w:sz w:val="34"/>
          <w:szCs w:val="34"/>
        </w:rPr>
      </w:pPr>
      <w:bookmarkStart w:id="3" w:name="_szpfdjo3urqe"/>
      <w:r>
        <w:rPr>
          <w:rFonts w:ascii="Arial" w:hAnsi="Arial" w:eastAsia="Arial" w:cs="Arial"/>
          <w:b/>
          <w:bCs/>
          <w:sz w:val="34"/>
          <w:szCs w:val="34"/>
        </w:rPr>
        <w:t>Page 2: EDA Oligopoly – Revenue Contributors</w:t>
      </w:r>
      <w:bookmarkEnd w:id="3"/>
    </w:p>
    <w:p w14:paraId="00000013">
      <w:pPr>
        <w:spacing w:before="240" w:after="240" w:lineRule="auto"/>
        <w:rPr/>
      </w:pPr>
      <w:r>
        <w:rPr>
          <w:rFonts w:ascii="Arial" w:hAnsi="Arial" w:eastAsia="Arial" w:cs="Arial"/>
          <w:sz w:val="22"/>
          <w:szCs w:val="22"/>
        </w:rPr>
        <w:t>This page compares the revenue structure of the two dominant EDA companies: Cadence and Synopsys.</w:t>
      </w:r>
    </w:p>
    <w:p w14:paraId="00000014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4" w:name="_pvkjuy3wm2dt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Cadence</w:t>
      </w:r>
      <w:bookmarkEnd w:id="4"/>
    </w:p>
    <w:p w14:paraId="00000015">
      <w:pPr>
        <w:spacing w:before="240" w:after="240" w:lineRule="auto"/>
        <w:rPr/>
      </w:pPr>
      <w:r>
        <w:rPr>
          <w:rFonts w:ascii="Arial" w:hAnsi="Arial" w:eastAsia="Arial" w:cs="Arial"/>
          <w:sz w:val="22"/>
          <w:szCs w:val="22"/>
        </w:rPr>
        <w:t>Cadence generated revenue across three major buckets:</w:t>
      </w:r>
    </w:p>
    <w:p w14:paraId="00000016">
      <w:pPr>
        <w:numPr>
          <w:ilvl w:val="0"/>
          <w:numId w:val="14"/>
        </w:numPr>
        <w:spacing w:before="24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Core EDA:</w:t>
      </w:r>
      <w:r>
        <w:rPr>
          <w:rFonts w:ascii="Arial" w:hAnsi="Arial" w:eastAsia="Arial" w:cs="Arial"/>
          <w:sz w:val="22"/>
          <w:szCs w:val="22"/>
        </w:rPr>
        <w:t xml:space="preserve"> Digital, custom/analog, verification, and PCB tools.</w:t>
      </w:r>
    </w:p>
    <w:p w14:paraId="00000017">
      <w:pPr>
        <w:numPr>
          <w:ilvl w:val="0"/>
          <w:numId w:val="14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System Design &amp; Analysis:</w:t>
      </w:r>
      <w:r>
        <w:rPr>
          <w:rFonts w:ascii="Arial" w:hAnsi="Arial" w:eastAsia="Arial" w:cs="Arial"/>
          <w:sz w:val="22"/>
          <w:szCs w:val="22"/>
        </w:rPr>
        <w:t xml:space="preserve"> PCB, packaging, thermal, RF, and multiphysics tools.</w:t>
      </w:r>
    </w:p>
    <w:p w14:paraId="00000018">
      <w:pPr>
        <w:numPr>
          <w:ilvl w:val="0"/>
          <w:numId w:val="14"/>
        </w:numPr>
        <w:spacing w:before="0" w:after="24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Semiconductor IP:</w:t>
      </w:r>
      <w:r>
        <w:rPr>
          <w:rFonts w:ascii="Arial" w:hAnsi="Arial" w:eastAsia="Arial" w:cs="Arial"/>
          <w:sz w:val="22"/>
          <w:szCs w:val="22"/>
        </w:rPr>
        <w:t xml:space="preserve"> Interface IP, processor IP, memory IP, Tensilica, and chiplet-related IP.</w:t>
      </w:r>
    </w:p>
    <w:p w14:paraId="00000019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5" w:name="_cgbe3bniq03b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Synopsys</w:t>
      </w:r>
      <w:bookmarkEnd w:id="5"/>
    </w:p>
    <w:p w14:paraId="0000001A">
      <w:pPr>
        <w:spacing w:before="240" w:after="240" w:lineRule="auto"/>
        <w:rPr/>
      </w:pPr>
      <w:r>
        <w:rPr>
          <w:rFonts w:ascii="Arial" w:hAnsi="Arial" w:eastAsia="Arial" w:cs="Arial"/>
          <w:sz w:val="22"/>
          <w:szCs w:val="22"/>
        </w:rPr>
        <w:t>Synopsys revenue is mainly divided into:</w:t>
      </w:r>
    </w:p>
    <w:p w14:paraId="0000001B">
      <w:pPr>
        <w:numPr>
          <w:ilvl w:val="0"/>
          <w:numId w:val="15"/>
        </w:numPr>
        <w:spacing w:before="24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Design Automation:</w:t>
      </w:r>
      <w:r>
        <w:rPr>
          <w:rFonts w:ascii="Arial" w:hAnsi="Arial" w:eastAsia="Arial" w:cs="Arial"/>
          <w:sz w:val="22"/>
          <w:szCs w:val="22"/>
        </w:rPr>
        <w:t xml:space="preserve"> EDA software, verification, hardware verification, and simulation.</w:t>
      </w:r>
    </w:p>
    <w:p w14:paraId="0000001C">
      <w:pPr>
        <w:numPr>
          <w:ilvl w:val="0"/>
          <w:numId w:val="15"/>
        </w:numPr>
        <w:spacing w:before="0" w:after="24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Design IP:</w:t>
      </w:r>
      <w:r>
        <w:rPr>
          <w:rFonts w:ascii="Arial" w:hAnsi="Arial" w:eastAsia="Arial" w:cs="Arial"/>
          <w:sz w:val="22"/>
          <w:szCs w:val="22"/>
        </w:rPr>
        <w:t xml:space="preserve"> Interface IP, foundation IP, security IP, and embedded processor IP.</w:t>
      </w:r>
    </w:p>
    <w:p w14:paraId="0000001D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6" w:name="_5zwun14nowji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Key Takeaways</w:t>
      </w:r>
      <w:bookmarkEnd w:id="6"/>
    </w:p>
    <w:p w14:paraId="0000001E">
      <w:pPr>
        <w:numPr>
          <w:ilvl w:val="0"/>
          <w:numId w:val="16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Core EDA remains the largest revenue engine for both companies.</w:t>
      </w:r>
    </w:p>
    <w:p w14:paraId="0000001F">
      <w:pPr>
        <w:numPr>
          <w:ilvl w:val="0"/>
          <w:numId w:val="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Semiconductor IP is smaller in percentage terms but strategically important.</w:t>
      </w:r>
    </w:p>
    <w:p w14:paraId="00000020">
      <w:pPr>
        <w:numPr>
          <w:ilvl w:val="0"/>
          <w:numId w:val="16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Siemens EDA is a major competitor, but standalone revenue is not disclosed.</w:t>
      </w:r>
    </w:p>
    <w:p w14:paraId="00000021">
      <w:pPr>
        <w:numPr>
          <w:ilvl w:val="0"/>
          <w:numId w:val="16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Tool-level revenue is not publicly disclosed, so exact benchmarking by product is not reliable.</w:t>
      </w:r>
    </w:p>
    <w:p>
      <w:r>
        <w:pict>
          <v:rect style="width:0.0pt;height:1.5pt" o:hr="t" o:hrstd="t" o:hralign="center" fillcolor="#A0A0A0" stroked="f"/>
        </w:pict>
      </w:r>
    </w:p>
    <w:p w14:paraId="00000023">
      <w:pPr>
        <w:pStyle w:val="Heading2"/>
        <w:spacing w:after="80" w:lineRule="auto"/>
        <w:rPr>
          <w:b/>
          <w:bCs/>
          <w:sz w:val="34"/>
          <w:szCs w:val="34"/>
        </w:rPr>
      </w:pPr>
      <w:bookmarkStart w:id="7" w:name="_asbfw77t60xq"/>
      <w:r>
        <w:rPr>
          <w:rFonts w:ascii="Arial" w:hAnsi="Arial" w:eastAsia="Arial" w:cs="Arial"/>
          <w:b/>
          <w:bCs/>
          <w:sz w:val="34"/>
          <w:szCs w:val="34"/>
        </w:rPr>
        <w:t>Page 3: Verification Stack – End to End</w:t>
      </w:r>
      <w:bookmarkEnd w:id="7"/>
    </w:p>
    <w:p w14:paraId="00000024">
      <w:pPr>
        <w:spacing w:before="240" w:after="240" w:lineRule="auto"/>
        <w:rPr/>
      </w:pPr>
      <w:r>
        <w:rPr>
          <w:rFonts w:ascii="Arial" w:hAnsi="Arial" w:eastAsia="Arial" w:cs="Arial"/>
          <w:sz w:val="22"/>
          <w:szCs w:val="22"/>
        </w:rPr>
        <w:t>This page explains how verification ensures that a chip design is functionally correct before it moves toward manufacturing.</w:t>
      </w:r>
    </w:p>
    <w:p w14:paraId="00000025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8" w:name="_48y88i59x5bb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Verification Flow</w:t>
      </w:r>
      <w:bookmarkEnd w:id="8"/>
    </w:p>
    <w:p w14:paraId="00000026">
      <w:pPr>
        <w:numPr>
          <w:ilvl w:val="0"/>
          <w:numId w:val="18"/>
        </w:numPr>
        <w:spacing w:before="24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Plan &amp; Prepare:</w:t>
      </w:r>
      <w:r>
        <w:rPr>
          <w:rFonts w:ascii="Arial" w:hAnsi="Arial" w:eastAsia="Arial" w:cs="Arial"/>
          <w:sz w:val="22"/>
          <w:szCs w:val="22"/>
        </w:rPr>
        <w:t xml:space="preserve"> Define the verification strategy, test plan, risks, and schedule.</w:t>
      </w:r>
    </w:p>
    <w:p w14:paraId="00000027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Build Environment &amp; Testbench:</w:t>
      </w:r>
      <w:r>
        <w:rPr>
          <w:rFonts w:ascii="Arial" w:hAnsi="Arial" w:eastAsia="Arial" w:cs="Arial"/>
          <w:sz w:val="22"/>
          <w:szCs w:val="22"/>
        </w:rPr>
        <w:t xml:space="preserve"> Create UVM/OVM testbenches, assertions, scoreboards, and reference models.</w:t>
      </w:r>
    </w:p>
    <w:p w14:paraId="00000028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Simulation:</w:t>
      </w:r>
      <w:r>
        <w:rPr>
          <w:rFonts w:ascii="Arial" w:hAnsi="Arial" w:eastAsia="Arial" w:cs="Arial"/>
          <w:sz w:val="22"/>
          <w:szCs w:val="22"/>
        </w:rPr>
        <w:t xml:space="preserve"> Run directed and constrained random tests through RTL or gate-level simulation.</w:t>
      </w:r>
    </w:p>
    <w:p w14:paraId="00000029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Analyze &amp; Debug:</w:t>
      </w:r>
      <w:r>
        <w:rPr>
          <w:rFonts w:ascii="Arial" w:hAnsi="Arial" w:eastAsia="Arial" w:cs="Arial"/>
          <w:sz w:val="22"/>
          <w:szCs w:val="22"/>
        </w:rPr>
        <w:t xml:space="preserve"> Use waveform and transaction-level debug to identify root causes.</w:t>
      </w:r>
    </w:p>
    <w:p w14:paraId="0000002A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Advanced Verification:</w:t>
      </w:r>
      <w:r>
        <w:rPr>
          <w:rFonts w:ascii="Arial" w:hAnsi="Arial" w:eastAsia="Arial" w:cs="Arial"/>
          <w:sz w:val="22"/>
          <w:szCs w:val="22"/>
        </w:rPr>
        <w:t xml:space="preserve"> Use formal verification, emulation, and FPGA prototyping.</w:t>
      </w:r>
    </w:p>
    <w:p w14:paraId="0000002B">
      <w:pPr>
        <w:numPr>
          <w:ilvl w:val="0"/>
          <w:numId w:val="18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Coverage &amp; Quality Closure:</w:t>
      </w:r>
      <w:r>
        <w:rPr>
          <w:rFonts w:ascii="Arial" w:hAnsi="Arial" w:eastAsia="Arial" w:cs="Arial"/>
          <w:sz w:val="22"/>
          <w:szCs w:val="22"/>
        </w:rPr>
        <w:t xml:space="preserve"> Track code, functional, assertion, and toggle coverage.</w:t>
      </w:r>
    </w:p>
    <w:p w14:paraId="0000002C">
      <w:pPr>
        <w:numPr>
          <w:ilvl w:val="0"/>
          <w:numId w:val="18"/>
        </w:numPr>
        <w:spacing w:before="0" w:after="24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Signoff &amp; Handoff:</w:t>
      </w:r>
      <w:r>
        <w:rPr>
          <w:rFonts w:ascii="Arial" w:hAnsi="Arial" w:eastAsia="Arial" w:cs="Arial"/>
          <w:sz w:val="22"/>
          <w:szCs w:val="22"/>
        </w:rPr>
        <w:t xml:space="preserve"> Prepare final verification reports for downstream physical design.</w:t>
      </w:r>
    </w:p>
    <w:p w14:paraId="0000002D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9" w:name="_bq2jrltcbz73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What Verification Checks</w:t>
      </w:r>
      <w:bookmarkEnd w:id="9"/>
    </w:p>
    <w:p w14:paraId="0000002E">
      <w:pPr>
        <w:numPr>
          <w:ilvl w:val="0"/>
          <w:numId w:val="17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Functional correctness</w:t>
      </w:r>
    </w:p>
    <w:p w14:paraId="0000002F">
      <w:pPr>
        <w:numPr>
          <w:ilvl w:val="0"/>
          <w:numId w:val="1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Protocol compliance</w:t>
      </w:r>
    </w:p>
    <w:p w14:paraId="00000030">
      <w:pPr>
        <w:numPr>
          <w:ilvl w:val="0"/>
          <w:numId w:val="1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Performance targets</w:t>
      </w:r>
    </w:p>
    <w:p w14:paraId="00000031">
      <w:pPr>
        <w:numPr>
          <w:ilvl w:val="0"/>
          <w:numId w:val="1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Robustness under edge cases</w:t>
      </w:r>
    </w:p>
    <w:p w14:paraId="00000032">
      <w:pPr>
        <w:numPr>
          <w:ilvl w:val="0"/>
          <w:numId w:val="17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Security vulnerabilities</w:t>
      </w:r>
    </w:p>
    <w:p w14:paraId="00000033">
      <w:pPr>
        <w:numPr>
          <w:ilvl w:val="0"/>
          <w:numId w:val="17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Low-power behavior</w:t>
      </w:r>
    </w:p>
    <w:p w14:paraId="00000034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10" w:name="_h3yuv7prit3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Major Tool Categories</w:t>
      </w:r>
      <w:bookmarkEnd w:id="10"/>
    </w:p>
    <w:p w14:paraId="00000035">
      <w:pPr>
        <w:numPr>
          <w:ilvl w:val="0"/>
          <w:numId w:val="3"/>
        </w:numPr>
        <w:spacing w:before="24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Simulation:</w:t>
      </w:r>
      <w:r>
        <w:rPr>
          <w:rFonts w:ascii="Arial" w:hAnsi="Arial" w:eastAsia="Arial" w:cs="Arial"/>
          <w:sz w:val="22"/>
          <w:szCs w:val="22"/>
        </w:rPr>
        <w:t xml:space="preserve"> Synopsys VCS, Cadence Xcelium, Siemens Questa</w:t>
      </w:r>
    </w:p>
    <w:p w14:paraId="00000036">
      <w:pPr>
        <w:numPr>
          <w:ilvl w:val="0"/>
          <w:numId w:val="3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Formal Verification:</w:t>
      </w:r>
      <w:r>
        <w:rPr>
          <w:rFonts w:ascii="Arial" w:hAnsi="Arial" w:eastAsia="Arial" w:cs="Arial"/>
          <w:sz w:val="22"/>
          <w:szCs w:val="22"/>
        </w:rPr>
        <w:t xml:space="preserve"> Synopsys VC Formal, Cadence JasperGold, Siemens Questa Formal</w:t>
      </w:r>
    </w:p>
    <w:p w14:paraId="00000037">
      <w:pPr>
        <w:numPr>
          <w:ilvl w:val="0"/>
          <w:numId w:val="3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Emulation:</w:t>
      </w:r>
      <w:r>
        <w:rPr>
          <w:rFonts w:ascii="Arial" w:hAnsi="Arial" w:eastAsia="Arial" w:cs="Arial"/>
          <w:sz w:val="22"/>
          <w:szCs w:val="22"/>
        </w:rPr>
        <w:t xml:space="preserve"> Synopsys ZeBu, Cadence Palladium, Siemens Veloce</w:t>
      </w:r>
    </w:p>
    <w:p w14:paraId="00000038">
      <w:pPr>
        <w:numPr>
          <w:ilvl w:val="0"/>
          <w:numId w:val="3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Debug:</w:t>
      </w:r>
      <w:r>
        <w:rPr>
          <w:rFonts w:ascii="Arial" w:hAnsi="Arial" w:eastAsia="Arial" w:cs="Arial"/>
          <w:sz w:val="22"/>
          <w:szCs w:val="22"/>
        </w:rPr>
        <w:t xml:space="preserve"> Synopsys Verdi, Cadence SimVision</w:t>
      </w:r>
    </w:p>
    <w:p w14:paraId="00000039">
      <w:pPr>
        <w:numPr>
          <w:ilvl w:val="0"/>
          <w:numId w:val="3"/>
        </w:numPr>
        <w:spacing w:before="0" w:after="24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Coverage:</w:t>
      </w:r>
      <w:r>
        <w:rPr>
          <w:rFonts w:ascii="Arial" w:hAnsi="Arial" w:eastAsia="Arial" w:cs="Arial"/>
          <w:sz w:val="22"/>
          <w:szCs w:val="22"/>
        </w:rPr>
        <w:t xml:space="preserve"> Cadence Verisium, Siemens IMC, Synopsys Verdi</w:t>
      </w:r>
    </w:p>
    <w:p>
      <w:r>
        <w:pict>
          <v:rect style="width:0.0pt;height:1.5pt" o:hr="t" o:hrstd="t" o:hralign="center" fillcolor="#A0A0A0" stroked="f"/>
        </w:pict>
      </w:r>
    </w:p>
    <w:p w14:paraId="0000003B">
      <w:pPr>
        <w:pStyle w:val="Heading2"/>
        <w:spacing w:after="80" w:lineRule="auto"/>
        <w:rPr>
          <w:b/>
          <w:bCs/>
          <w:sz w:val="34"/>
          <w:szCs w:val="34"/>
        </w:rPr>
      </w:pPr>
      <w:bookmarkStart w:id="11" w:name="_qphdfo8q3sa1"/>
      <w:r>
        <w:rPr>
          <w:rFonts w:ascii="Arial" w:hAnsi="Arial" w:eastAsia="Arial" w:cs="Arial"/>
          <w:b/>
          <w:bCs/>
          <w:sz w:val="34"/>
          <w:szCs w:val="34"/>
        </w:rPr>
        <w:t>Page 4: IP Ecosystem – Where Interfaces &amp; IP Blocks Fit in SoC Design</w:t>
      </w:r>
      <w:bookmarkEnd w:id="11"/>
    </w:p>
    <w:p w14:paraId="0000003C">
      <w:pPr>
        <w:spacing w:before="240" w:after="240" w:lineRule="auto"/>
        <w:rPr/>
      </w:pPr>
      <w:r>
        <w:rPr>
          <w:rFonts w:ascii="Arial" w:hAnsi="Arial" w:eastAsia="Arial" w:cs="Arial"/>
          <w:sz w:val="22"/>
          <w:szCs w:val="22"/>
        </w:rPr>
        <w:t>This page explains how modern chips are assembled using licensed and reusable IP blocks instead of being built entirely from scratch.</w:t>
      </w:r>
    </w:p>
    <w:p w14:paraId="0000003D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12" w:name="_3704rwqhw4gz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Major IP Categories</w:t>
      </w:r>
      <w:bookmarkEnd w:id="12"/>
    </w:p>
    <w:p w14:paraId="0000003E">
      <w:pPr>
        <w:numPr>
          <w:ilvl w:val="0"/>
          <w:numId w:val="12"/>
        </w:numPr>
        <w:spacing w:before="24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Connectivity IP:</w:t>
      </w:r>
      <w:r>
        <w:rPr>
          <w:rFonts w:ascii="Arial" w:hAnsi="Arial" w:eastAsia="Arial" w:cs="Arial"/>
          <w:sz w:val="22"/>
          <w:szCs w:val="22"/>
        </w:rPr>
        <w:t xml:space="preserve"> PCIe, CXL, USB, Ethernet, SerDes</w:t>
      </w:r>
    </w:p>
    <w:p w14:paraId="0000003F">
      <w:pPr>
        <w:numPr>
          <w:ilvl w:val="0"/>
          <w:numId w:val="12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Memory IP:</w:t>
      </w:r>
      <w:r>
        <w:rPr>
          <w:rFonts w:ascii="Arial" w:hAnsi="Arial" w:eastAsia="Arial" w:cs="Arial"/>
          <w:sz w:val="22"/>
          <w:szCs w:val="22"/>
        </w:rPr>
        <w:t xml:space="preserve"> HBM, DDR, LPDDR, SRAM</w:t>
      </w:r>
    </w:p>
    <w:p w14:paraId="00000040">
      <w:pPr>
        <w:numPr>
          <w:ilvl w:val="0"/>
          <w:numId w:val="12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Compute IP:</w:t>
      </w:r>
      <w:r>
        <w:rPr>
          <w:rFonts w:ascii="Arial" w:hAnsi="Arial" w:eastAsia="Arial" w:cs="Arial"/>
          <w:sz w:val="22"/>
          <w:szCs w:val="22"/>
        </w:rPr>
        <w:t xml:space="preserve"> CPU cores, DSPs, NPUs, AI accelerators</w:t>
      </w:r>
    </w:p>
    <w:p w14:paraId="00000041">
      <w:pPr>
        <w:numPr>
          <w:ilvl w:val="0"/>
          <w:numId w:val="12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Security IP:</w:t>
      </w:r>
      <w:r>
        <w:rPr>
          <w:rFonts w:ascii="Arial" w:hAnsi="Arial" w:eastAsia="Arial" w:cs="Arial"/>
          <w:sz w:val="22"/>
          <w:szCs w:val="22"/>
        </w:rPr>
        <w:t xml:space="preserve"> Crypto engines, secure boot, PUF, root of trust</w:t>
      </w:r>
    </w:p>
    <w:p w14:paraId="00000042">
      <w:pPr>
        <w:numPr>
          <w:ilvl w:val="0"/>
          <w:numId w:val="12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Foundation IP:</w:t>
      </w:r>
      <w:r>
        <w:rPr>
          <w:rFonts w:ascii="Arial" w:hAnsi="Arial" w:eastAsia="Arial" w:cs="Arial"/>
          <w:sz w:val="22"/>
          <w:szCs w:val="22"/>
        </w:rPr>
        <w:t xml:space="preserve"> Standard cells, SRAM compilers, PLLs, regulators</w:t>
      </w:r>
    </w:p>
    <w:p w14:paraId="00000043">
      <w:pPr>
        <w:numPr>
          <w:ilvl w:val="0"/>
          <w:numId w:val="12"/>
        </w:numPr>
        <w:spacing w:before="0" w:after="24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Analog/Mixed Signal IP:</w:t>
      </w:r>
      <w:r>
        <w:rPr>
          <w:rFonts w:ascii="Arial" w:hAnsi="Arial" w:eastAsia="Arial" w:cs="Arial"/>
          <w:sz w:val="22"/>
          <w:szCs w:val="22"/>
        </w:rPr>
        <w:t xml:space="preserve"> ADCs, DACs, PLLs, I/O pads</w:t>
      </w:r>
    </w:p>
    <w:p w14:paraId="00000044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13" w:name="_jslptsi95421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IP Integration Flow</w:t>
      </w:r>
      <w:bookmarkEnd w:id="13"/>
    </w:p>
    <w:p w14:paraId="00000045">
      <w:pPr>
        <w:spacing w:before="240" w:after="240" w:lineRule="auto"/>
        <w:rPr/>
      </w:pPr>
      <w:r>
        <w:rPr>
          <w:rFonts w:ascii="Arial" w:hAnsi="Arial" w:eastAsia="Arial" w:cs="Arial"/>
          <w:sz w:val="22"/>
          <w:szCs w:val="22"/>
        </w:rPr>
        <w:t>The usual flow is:</w:t>
      </w:r>
    </w:p>
    <w:p w14:paraId="00000046">
      <w:pPr>
        <w:spacing w:before="240" w:after="240" w:lineRule="auto"/>
        <w:rPr>
          <w:b/>
          <w:bCs/>
        </w:rPr>
      </w:pPr>
      <w:r>
        <w:rPr>
          <w:rFonts w:ascii="Arial Unicode MS" w:hAnsi="Arial Unicode MS" w:eastAsia="Arial Unicode MS" w:cs="Arial Unicode MS"/>
          <w:b/>
          <w:bCs/>
          <w:sz w:val="22"/>
          <w:szCs w:val="22"/>
        </w:rPr>
        <w:t>Architecture → IP Selection → RTL Integration → Verification → Physical Design → Signoff → Tapeout</w:t>
      </w:r>
    </w:p>
    <w:p w14:paraId="00000047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14" w:name="_i3yp7oizpwjd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IP Licensing Models</w:t>
      </w:r>
      <w:bookmarkEnd w:id="14"/>
    </w:p>
    <w:p w14:paraId="00000048">
      <w:pPr>
        <w:numPr>
          <w:ilvl w:val="0"/>
          <w:numId w:val="5"/>
        </w:numPr>
        <w:spacing w:before="24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Hard IP:</w:t>
      </w:r>
      <w:r>
        <w:rPr>
          <w:rFonts w:ascii="Arial" w:hAnsi="Arial" w:eastAsia="Arial" w:cs="Arial"/>
          <w:sz w:val="22"/>
          <w:szCs w:val="22"/>
        </w:rPr>
        <w:t xml:space="preserve"> Fixed layout or netlist, usually process-specific and faster to integrate.</w:t>
      </w:r>
    </w:p>
    <w:p w14:paraId="00000049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Soft IP:</w:t>
      </w:r>
      <w:r>
        <w:rPr>
          <w:rFonts w:ascii="Arial" w:hAnsi="Arial" w:eastAsia="Arial" w:cs="Arial"/>
          <w:sz w:val="22"/>
          <w:szCs w:val="22"/>
        </w:rPr>
        <w:t xml:space="preserve"> Synthesizable RTL, flexible but requires implementation work.</w:t>
      </w:r>
    </w:p>
    <w:p w14:paraId="0000004A">
      <w:pPr>
        <w:numPr>
          <w:ilvl w:val="0"/>
          <w:numId w:val="5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Firm IP:</w:t>
      </w:r>
      <w:r>
        <w:rPr>
          <w:rFonts w:ascii="Arial" w:hAnsi="Arial" w:eastAsia="Arial" w:cs="Arial"/>
          <w:sz w:val="22"/>
          <w:szCs w:val="22"/>
        </w:rPr>
        <w:t xml:space="preserve"> Partially optimized IP between soft and hard IP.</w:t>
      </w:r>
    </w:p>
    <w:p w14:paraId="0000004B">
      <w:pPr>
        <w:numPr>
          <w:ilvl w:val="0"/>
          <w:numId w:val="5"/>
        </w:numPr>
        <w:spacing w:before="0" w:after="24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Chiplet/Die IP:</w:t>
      </w:r>
      <w:r>
        <w:rPr>
          <w:rFonts w:ascii="Arial" w:hAnsi="Arial" w:eastAsia="Arial" w:cs="Arial"/>
          <w:sz w:val="22"/>
          <w:szCs w:val="22"/>
        </w:rPr>
        <w:t xml:space="preserve"> Pre-verified blocks used in chiplet-based designs.</w:t>
      </w:r>
    </w:p>
    <w:p w14:paraId="0000004C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15" w:name="_fudvihpl3yqe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Key Takeaways</w:t>
      </w:r>
      <w:bookmarkEnd w:id="15"/>
    </w:p>
    <w:p w14:paraId="0000004D">
      <w:pPr>
        <w:numPr>
          <w:ilvl w:val="0"/>
          <w:numId w:val="4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IP reduces design time and risk.</w:t>
      </w:r>
    </w:p>
    <w:p w14:paraId="0000004E">
      <w:pPr>
        <w:numPr>
          <w:ilvl w:val="0"/>
          <w:numId w:val="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Connectivity and memory IP are especially important because of AI, data center, and high-performance computing demand.</w:t>
      </w:r>
    </w:p>
    <w:p w14:paraId="0000004F">
      <w:pPr>
        <w:numPr>
          <w:ilvl w:val="0"/>
          <w:numId w:val="4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Arm leads in compute IP.</w:t>
      </w:r>
    </w:p>
    <w:p w14:paraId="00000050">
      <w:pPr>
        <w:numPr>
          <w:ilvl w:val="0"/>
          <w:numId w:val="4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Synopsys and Cadence are strong across interface, memory, foundation, and security IP.</w:t>
      </w:r>
    </w:p>
    <w:p>
      <w:r>
        <w:pict>
          <v:rect style="width:0.0pt;height:1.5pt" o:hr="t" o:hrstd="t" o:hralign="center" fillcolor="#A0A0A0" stroked="f"/>
        </w:pict>
      </w:r>
    </w:p>
    <w:p w14:paraId="00000052">
      <w:pPr>
        <w:pStyle w:val="Heading2"/>
        <w:spacing w:after="80" w:lineRule="auto"/>
        <w:rPr>
          <w:b/>
          <w:bCs/>
          <w:sz w:val="34"/>
          <w:szCs w:val="34"/>
        </w:rPr>
      </w:pPr>
      <w:bookmarkStart w:id="16" w:name="_67k0mnzevs6w"/>
      <w:r>
        <w:rPr>
          <w:rFonts w:ascii="Arial" w:hAnsi="Arial" w:eastAsia="Arial" w:cs="Arial"/>
          <w:b/>
          <w:bCs/>
          <w:sz w:val="34"/>
          <w:szCs w:val="34"/>
        </w:rPr>
        <w:t>Page 5: Physical Design Stack – End to End</w:t>
      </w:r>
      <w:bookmarkEnd w:id="16"/>
    </w:p>
    <w:p w14:paraId="00000053">
      <w:pPr>
        <w:spacing w:before="240" w:after="240" w:lineRule="auto"/>
        <w:rPr/>
      </w:pPr>
      <w:r>
        <w:rPr>
          <w:rFonts w:ascii="Arial" w:hAnsi="Arial" w:eastAsia="Arial" w:cs="Arial"/>
          <w:sz w:val="22"/>
          <w:szCs w:val="22"/>
        </w:rPr>
        <w:t>This page explains how a gate-level netlist is converted into a manufacturable chip layout.</w:t>
      </w:r>
    </w:p>
    <w:p w14:paraId="00000054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17" w:name="_76ioheax8m0p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Physical Design Flow</w:t>
      </w:r>
      <w:bookmarkEnd w:id="17"/>
    </w:p>
    <w:p w14:paraId="00000055">
      <w:pPr>
        <w:numPr>
          <w:ilvl w:val="0"/>
          <w:numId w:val="6"/>
        </w:numPr>
        <w:spacing w:before="24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Synthesis Input:</w:t>
      </w:r>
      <w:r>
        <w:rPr>
          <w:rFonts w:ascii="Arial" w:hAnsi="Arial" w:eastAsia="Arial" w:cs="Arial"/>
          <w:sz w:val="22"/>
          <w:szCs w:val="22"/>
        </w:rPr>
        <w:t xml:space="preserve"> Import the netlist, libraries, timing constraints, and DFT information.</w:t>
      </w:r>
    </w:p>
    <w:p w14:paraId="00000056">
      <w:pPr>
        <w:numPr>
          <w:ilvl w:val="0"/>
          <w:numId w:val="6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Floorplan &amp; Power Plan:</w:t>
      </w:r>
      <w:r>
        <w:rPr>
          <w:rFonts w:ascii="Arial" w:hAnsi="Arial" w:eastAsia="Arial" w:cs="Arial"/>
          <w:sz w:val="22"/>
          <w:szCs w:val="22"/>
        </w:rPr>
        <w:t xml:space="preserve"> Define chip size, macro placement, I/O placement, and power grid.</w:t>
      </w:r>
    </w:p>
    <w:p w14:paraId="00000057">
      <w:pPr>
        <w:numPr>
          <w:ilvl w:val="0"/>
          <w:numId w:val="6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Placement:</w:t>
      </w:r>
      <w:r>
        <w:rPr>
          <w:rFonts w:ascii="Arial" w:hAnsi="Arial" w:eastAsia="Arial" w:cs="Arial"/>
          <w:sz w:val="22"/>
          <w:szCs w:val="22"/>
        </w:rPr>
        <w:t xml:space="preserve"> Place standard cells while managing timing, area, and congestion.</w:t>
      </w:r>
    </w:p>
    <w:p w14:paraId="00000058">
      <w:pPr>
        <w:numPr>
          <w:ilvl w:val="0"/>
          <w:numId w:val="6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Clock Tree Synthesis:</w:t>
      </w:r>
      <w:r>
        <w:rPr>
          <w:rFonts w:ascii="Arial" w:hAnsi="Arial" w:eastAsia="Arial" w:cs="Arial"/>
          <w:sz w:val="22"/>
          <w:szCs w:val="22"/>
        </w:rPr>
        <w:t xml:space="preserve"> Build and balance the clock network.</w:t>
      </w:r>
    </w:p>
    <w:p w14:paraId="00000059">
      <w:pPr>
        <w:numPr>
          <w:ilvl w:val="0"/>
          <w:numId w:val="6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Routing:</w:t>
      </w:r>
      <w:r>
        <w:rPr>
          <w:rFonts w:ascii="Arial" w:hAnsi="Arial" w:eastAsia="Arial" w:cs="Arial"/>
          <w:sz w:val="22"/>
          <w:szCs w:val="22"/>
        </w:rPr>
        <w:t xml:space="preserve"> Connect all signals using metal layers.</w:t>
      </w:r>
    </w:p>
    <w:p w14:paraId="0000005A">
      <w:pPr>
        <w:numPr>
          <w:ilvl w:val="0"/>
          <w:numId w:val="6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Post-Route Optimization:</w:t>
      </w:r>
      <w:r>
        <w:rPr>
          <w:rFonts w:ascii="Arial" w:hAnsi="Arial" w:eastAsia="Arial" w:cs="Arial"/>
          <w:sz w:val="22"/>
          <w:szCs w:val="22"/>
        </w:rPr>
        <w:t xml:space="preserve"> Fix timing, congestion, power, and routing issues.</w:t>
      </w:r>
    </w:p>
    <w:p w14:paraId="0000005B">
      <w:pPr>
        <w:numPr>
          <w:ilvl w:val="0"/>
          <w:numId w:val="6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Extraction:</w:t>
      </w:r>
      <w:r>
        <w:rPr>
          <w:rFonts w:ascii="Arial" w:hAnsi="Arial" w:eastAsia="Arial" w:cs="Arial"/>
          <w:sz w:val="22"/>
          <w:szCs w:val="22"/>
        </w:rPr>
        <w:t xml:space="preserve"> Extract parasitic resistance and capacitance for accurate timing analysis.</w:t>
      </w:r>
    </w:p>
    <w:p w14:paraId="0000005C">
      <w:pPr>
        <w:numPr>
          <w:ilvl w:val="0"/>
          <w:numId w:val="6"/>
        </w:numPr>
        <w:spacing w:before="0" w:after="24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STA &amp; Signoff Readiness:</w:t>
      </w:r>
      <w:r>
        <w:rPr>
          <w:rFonts w:ascii="Arial" w:hAnsi="Arial" w:eastAsia="Arial" w:cs="Arial"/>
          <w:sz w:val="22"/>
          <w:szCs w:val="22"/>
        </w:rPr>
        <w:t xml:space="preserve"> Run final timing, power, reliability, and manufacturing checks.</w:t>
      </w:r>
    </w:p>
    <w:p w14:paraId="0000005D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18" w:name="_7kuwwo37x8r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Signoff Checks</w:t>
      </w:r>
      <w:bookmarkEnd w:id="18"/>
    </w:p>
    <w:p w14:paraId="0000005E">
      <w:pPr>
        <w:numPr>
          <w:ilvl w:val="0"/>
          <w:numId w:val="7"/>
        </w:numPr>
        <w:spacing w:before="24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DRC:</w:t>
      </w:r>
      <w:r>
        <w:rPr>
          <w:rFonts w:ascii="Arial" w:hAnsi="Arial" w:eastAsia="Arial" w:cs="Arial"/>
          <w:sz w:val="22"/>
          <w:szCs w:val="22"/>
        </w:rPr>
        <w:t xml:space="preserve"> Ensures compliance with manufacturing design rules.</w:t>
      </w:r>
    </w:p>
    <w:p w14:paraId="0000005F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LVS:</w:t>
      </w:r>
      <w:r>
        <w:rPr>
          <w:rFonts w:ascii="Arial" w:hAnsi="Arial" w:eastAsia="Arial" w:cs="Arial"/>
          <w:sz w:val="22"/>
          <w:szCs w:val="22"/>
        </w:rPr>
        <w:t xml:space="preserve"> Checks that the layout matches the schematic/netlist.</w:t>
      </w:r>
    </w:p>
    <w:p w14:paraId="00000060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IR Drop:</w:t>
      </w:r>
      <w:r>
        <w:rPr>
          <w:rFonts w:ascii="Arial" w:hAnsi="Arial" w:eastAsia="Arial" w:cs="Arial"/>
          <w:sz w:val="22"/>
          <w:szCs w:val="22"/>
        </w:rPr>
        <w:t xml:space="preserve"> Measures voltage drop in the power network.</w:t>
      </w:r>
    </w:p>
    <w:p w14:paraId="00000061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EM:</w:t>
      </w:r>
      <w:r>
        <w:rPr>
          <w:rFonts w:ascii="Arial" w:hAnsi="Arial" w:eastAsia="Arial" w:cs="Arial"/>
          <w:sz w:val="22"/>
          <w:szCs w:val="22"/>
        </w:rPr>
        <w:t xml:space="preserve"> Checks electromigration reliability.</w:t>
      </w:r>
    </w:p>
    <w:p w14:paraId="00000062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SI:</w:t>
      </w:r>
      <w:r>
        <w:rPr>
          <w:rFonts w:ascii="Arial" w:hAnsi="Arial" w:eastAsia="Arial" w:cs="Arial"/>
          <w:sz w:val="22"/>
          <w:szCs w:val="22"/>
        </w:rPr>
        <w:t xml:space="preserve"> Checks signal integrity.</w:t>
      </w:r>
    </w:p>
    <w:p w14:paraId="00000063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STA:</w:t>
      </w:r>
      <w:r>
        <w:rPr>
          <w:rFonts w:ascii="Arial" w:hAnsi="Arial" w:eastAsia="Arial" w:cs="Arial"/>
          <w:sz w:val="22"/>
          <w:szCs w:val="22"/>
        </w:rPr>
        <w:t xml:space="preserve"> Confirms timing closure.</w:t>
      </w:r>
    </w:p>
    <w:p w14:paraId="00000064">
      <w:pPr>
        <w:numPr>
          <w:ilvl w:val="0"/>
          <w:numId w:val="7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Power Signoff:</w:t>
      </w:r>
      <w:r>
        <w:rPr>
          <w:rFonts w:ascii="Arial" w:hAnsi="Arial" w:eastAsia="Arial" w:cs="Arial"/>
          <w:sz w:val="22"/>
          <w:szCs w:val="22"/>
        </w:rPr>
        <w:t xml:space="preserve"> Validates dynamic and leakage power.</w:t>
      </w:r>
    </w:p>
    <w:p w14:paraId="00000065">
      <w:pPr>
        <w:numPr>
          <w:ilvl w:val="0"/>
          <w:numId w:val="7"/>
        </w:numPr>
        <w:spacing w:before="0" w:after="24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DFT:</w:t>
      </w:r>
      <w:r>
        <w:rPr>
          <w:rFonts w:ascii="Arial" w:hAnsi="Arial" w:eastAsia="Arial" w:cs="Arial"/>
          <w:sz w:val="22"/>
          <w:szCs w:val="22"/>
        </w:rPr>
        <w:t xml:space="preserve"> Ensures testability.</w:t>
      </w:r>
    </w:p>
    <w:p w14:paraId="00000066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19" w:name="_o9xns7ax76hi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Metrics Tracked</w:t>
      </w:r>
      <w:bookmarkEnd w:id="19"/>
    </w:p>
    <w:p w14:paraId="00000067">
      <w:pPr>
        <w:numPr>
          <w:ilvl w:val="0"/>
          <w:numId w:val="8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WNS/TNS</w:t>
      </w:r>
    </w:p>
    <w:p w14:paraId="00000068">
      <w:pPr>
        <w:numPr>
          <w:ilvl w:val="0"/>
          <w:numId w:val="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Area</w:t>
      </w:r>
    </w:p>
    <w:p w14:paraId="00000069">
      <w:pPr>
        <w:numPr>
          <w:ilvl w:val="0"/>
          <w:numId w:val="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Dynamic and leakage power</w:t>
      </w:r>
    </w:p>
    <w:p w14:paraId="0000006A">
      <w:pPr>
        <w:numPr>
          <w:ilvl w:val="0"/>
          <w:numId w:val="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Congestion</w:t>
      </w:r>
    </w:p>
    <w:p w14:paraId="0000006B">
      <w:pPr>
        <w:numPr>
          <w:ilvl w:val="0"/>
          <w:numId w:val="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IR drop</w:t>
      </w:r>
    </w:p>
    <w:p w14:paraId="0000006C">
      <w:pPr>
        <w:numPr>
          <w:ilvl w:val="0"/>
          <w:numId w:val="8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Timing slack</w:t>
      </w:r>
    </w:p>
    <w:p w14:paraId="0000006D">
      <w:pPr>
        <w:numPr>
          <w:ilvl w:val="0"/>
          <w:numId w:val="8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DRC count</w:t>
      </w:r>
    </w:p>
    <w:p>
      <w:r>
        <w:pict>
          <v:rect style="width:0.0pt;height:1.5pt" o:hr="t" o:hrstd="t" o:hralign="center" fillcolor="#A0A0A0" stroked="f"/>
        </w:pict>
      </w:r>
    </w:p>
    <w:p w14:paraId="0000006F">
      <w:pPr>
        <w:pStyle w:val="Heading2"/>
        <w:spacing w:after="80" w:lineRule="auto"/>
        <w:rPr>
          <w:b/>
          <w:bCs/>
          <w:sz w:val="34"/>
          <w:szCs w:val="34"/>
        </w:rPr>
      </w:pPr>
      <w:bookmarkStart w:id="20" w:name="_ng41yfwq7rb"/>
      <w:r>
        <w:rPr>
          <w:rFonts w:ascii="Arial" w:hAnsi="Arial" w:eastAsia="Arial" w:cs="Arial"/>
          <w:b/>
          <w:bCs/>
          <w:sz w:val="34"/>
          <w:szCs w:val="34"/>
        </w:rPr>
        <w:t>Page 6: AI in EDA – Where AI Models Create Value</w:t>
      </w:r>
      <w:bookmarkEnd w:id="20"/>
    </w:p>
    <w:p w14:paraId="00000070">
      <w:pPr>
        <w:spacing w:before="240" w:after="240" w:lineRule="auto"/>
        <w:rPr/>
      </w:pPr>
      <w:r>
        <w:rPr>
          <w:rFonts w:ascii="Arial" w:hAnsi="Arial" w:eastAsia="Arial" w:cs="Arial"/>
          <w:sz w:val="22"/>
          <w:szCs w:val="22"/>
        </w:rPr>
        <w:t>This page explains how AI is being embedded across the semiconductor design workflow to improve productivity, design quality, and time-to-market.</w:t>
      </w:r>
    </w:p>
    <w:p w14:paraId="00000071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21" w:name="_sro02dfec5bk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Business Impact</w:t>
      </w:r>
      <w:bookmarkEnd w:id="21"/>
    </w:p>
    <w:p w14:paraId="00000072">
      <w:pPr>
        <w:spacing w:before="240" w:after="240" w:lineRule="auto"/>
        <w:rPr/>
      </w:pPr>
      <w:r>
        <w:rPr>
          <w:rFonts w:ascii="Arial" w:hAnsi="Arial" w:eastAsia="Arial" w:cs="Arial"/>
          <w:sz w:val="22"/>
          <w:szCs w:val="22"/>
        </w:rPr>
        <w:t>AI in EDA can help with:</w:t>
      </w:r>
    </w:p>
    <w:p w14:paraId="00000073">
      <w:pPr>
        <w:numPr>
          <w:ilvl w:val="0"/>
          <w:numId w:val="9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Faster design closure</w:t>
      </w:r>
    </w:p>
    <w:p w14:paraId="00000074">
      <w:pPr>
        <w:numPr>
          <w:ilvl w:val="0"/>
          <w:numId w:val="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Better power, performance, and area outcomes</w:t>
      </w:r>
    </w:p>
    <w:p w14:paraId="00000075">
      <w:pPr>
        <w:numPr>
          <w:ilvl w:val="0"/>
          <w:numId w:val="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Earlier bug detection</w:t>
      </w:r>
    </w:p>
    <w:p w14:paraId="00000076">
      <w:pPr>
        <w:numPr>
          <w:ilvl w:val="0"/>
          <w:numId w:val="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Reduced rework and engineering change orders</w:t>
      </w:r>
    </w:p>
    <w:p w14:paraId="00000077">
      <w:pPr>
        <w:numPr>
          <w:ilvl w:val="0"/>
          <w:numId w:val="9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Improved first-pass silicon success</w:t>
      </w:r>
    </w:p>
    <w:p w14:paraId="00000078">
      <w:pPr>
        <w:numPr>
          <w:ilvl w:val="0"/>
          <w:numId w:val="9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Lower overall design cost</w:t>
      </w:r>
    </w:p>
    <w:p w14:paraId="00000079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22" w:name="_vijkq193imik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Where AI Is Applied</w:t>
      </w:r>
      <w:bookmarkEnd w:id="22"/>
    </w:p>
    <w:p w14:paraId="0000007A">
      <w:pPr>
        <w:numPr>
          <w:ilvl w:val="0"/>
          <w:numId w:val="11"/>
        </w:numPr>
        <w:spacing w:before="24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Architecture:</w:t>
      </w:r>
      <w:r>
        <w:rPr>
          <w:rFonts w:ascii="Arial" w:hAnsi="Arial" w:eastAsia="Arial" w:cs="Arial"/>
          <w:sz w:val="22"/>
          <w:szCs w:val="22"/>
        </w:rPr>
        <w:t xml:space="preserve"> Design space exploration, workload analysis, and early PPA prediction.</w:t>
      </w:r>
    </w:p>
    <w:p w14:paraId="0000007B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RTL &amp; Verification:</w:t>
      </w:r>
      <w:r>
        <w:rPr>
          <w:rFonts w:ascii="Arial" w:hAnsi="Arial" w:eastAsia="Arial" w:cs="Arial"/>
          <w:sz w:val="22"/>
          <w:szCs w:val="22"/>
        </w:rPr>
        <w:t xml:space="preserve"> AI-assisted coding, test selection, assertion generation, and regression optimization.</w:t>
      </w:r>
    </w:p>
    <w:p w14:paraId="0000007C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Logic Synthesis:</w:t>
      </w:r>
      <w:r>
        <w:rPr>
          <w:rFonts w:ascii="Arial" w:hAnsi="Arial" w:eastAsia="Arial" w:cs="Arial"/>
          <w:sz w:val="22"/>
          <w:szCs w:val="22"/>
        </w:rPr>
        <w:t xml:space="preserve"> Predicting optimization directives and improving timing/power results.</w:t>
      </w:r>
    </w:p>
    <w:p w14:paraId="0000007D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Physical Design:</w:t>
      </w:r>
      <w:r>
        <w:rPr>
          <w:rFonts w:ascii="Arial" w:hAnsi="Arial" w:eastAsia="Arial" w:cs="Arial"/>
          <w:sz w:val="22"/>
          <w:szCs w:val="22"/>
        </w:rPr>
        <w:t xml:space="preserve"> Placement prediction, congestion prediction, routing optimization, and clock-tree planning.</w:t>
      </w:r>
    </w:p>
    <w:p w14:paraId="0000007E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Signoff:</w:t>
      </w:r>
      <w:r>
        <w:rPr>
          <w:rFonts w:ascii="Arial" w:hAnsi="Arial" w:eastAsia="Arial" w:cs="Arial"/>
          <w:sz w:val="22"/>
          <w:szCs w:val="22"/>
        </w:rPr>
        <w:t xml:space="preserve"> Timing, power integrity, signal integrity, and DRC/LVS issue prediction.</w:t>
      </w:r>
    </w:p>
    <w:p w14:paraId="0000007F">
      <w:pPr>
        <w:numPr>
          <w:ilvl w:val="0"/>
          <w:numId w:val="11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Tapeout &amp; Manufacturing:</w:t>
      </w:r>
      <w:r>
        <w:rPr>
          <w:rFonts w:ascii="Arial" w:hAnsi="Arial" w:eastAsia="Arial" w:cs="Arial"/>
          <w:sz w:val="22"/>
          <w:szCs w:val="22"/>
        </w:rPr>
        <w:t xml:space="preserve"> Lithography hotspot prediction, OPC optimization, yield prediction, and defect analytics.</w:t>
      </w:r>
    </w:p>
    <w:p w14:paraId="00000080">
      <w:pPr>
        <w:numPr>
          <w:ilvl w:val="0"/>
          <w:numId w:val="11"/>
        </w:numPr>
        <w:spacing w:before="0" w:after="24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Post-Silicon:</w:t>
      </w:r>
      <w:r>
        <w:rPr>
          <w:rFonts w:ascii="Arial" w:hAnsi="Arial" w:eastAsia="Arial" w:cs="Arial"/>
          <w:sz w:val="22"/>
          <w:szCs w:val="22"/>
        </w:rPr>
        <w:t xml:space="preserve"> Failure prediction, silicon analytics, and adaptive in-field optimization.</w:t>
      </w:r>
    </w:p>
    <w:p w14:paraId="00000081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23" w:name="_1506umsztnrv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AI-Enabled Tools</w:t>
      </w:r>
      <w:bookmarkEnd w:id="23"/>
    </w:p>
    <w:p w14:paraId="00000082">
      <w:pPr>
        <w:numPr>
          <w:ilvl w:val="0"/>
          <w:numId w:val="10"/>
        </w:numPr>
        <w:spacing w:before="24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Cadence:</w:t>
      </w:r>
      <w:r>
        <w:rPr>
          <w:rFonts w:ascii="Arial" w:hAnsi="Arial" w:eastAsia="Arial" w:cs="Arial"/>
          <w:sz w:val="22"/>
          <w:szCs w:val="22"/>
        </w:rPr>
        <w:t xml:space="preserve"> Cerebrus, Verisium, Tempus AI</w:t>
      </w:r>
    </w:p>
    <w:p w14:paraId="00000083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Synopsys:</w:t>
      </w:r>
      <w:r>
        <w:rPr>
          <w:rFonts w:ascii="Arial" w:hAnsi="Arial" w:eastAsia="Arial" w:cs="Arial"/>
          <w:sz w:val="22"/>
          <w:szCs w:val="22"/>
        </w:rPr>
        <w:t xml:space="preserve"> DSO.ai, Verdi AI, Fusion Compiler ML, PrimeTime AI</w:t>
      </w:r>
    </w:p>
    <w:p w14:paraId="00000084">
      <w:pPr>
        <w:numPr>
          <w:ilvl w:val="0"/>
          <w:numId w:val="10"/>
        </w:numPr>
        <w:spacing w:before="0" w:after="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Siemens:</w:t>
      </w:r>
      <w:r>
        <w:rPr>
          <w:rFonts w:ascii="Arial" w:hAnsi="Arial" w:eastAsia="Arial" w:cs="Arial"/>
          <w:sz w:val="22"/>
          <w:szCs w:val="22"/>
        </w:rPr>
        <w:t xml:space="preserve"> Questa-related AI/verification capabilities</w:t>
      </w:r>
    </w:p>
    <w:p w14:paraId="00000085">
      <w:pPr>
        <w:numPr>
          <w:ilvl w:val="0"/>
          <w:numId w:val="10"/>
        </w:numPr>
        <w:spacing w:before="0" w:after="240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>Ansys:</w:t>
      </w:r>
      <w:r>
        <w:rPr>
          <w:rFonts w:ascii="Arial" w:hAnsi="Arial" w:eastAsia="Arial" w:cs="Arial"/>
          <w:sz w:val="22"/>
          <w:szCs w:val="22"/>
        </w:rPr>
        <w:t xml:space="preserve"> RedHawk-SC AI, PathFinder AI</w:t>
      </w:r>
    </w:p>
    <w:p w14:paraId="00000086">
      <w:pPr>
        <w:pStyle w:val="Heading3"/>
        <w:spacing w:before="280" w:lineRule="auto"/>
        <w:rPr>
          <w:b/>
          <w:bCs/>
          <w:color w:val="000000"/>
          <w:sz w:val="26"/>
          <w:szCs w:val="26"/>
        </w:rPr>
      </w:pPr>
      <w:bookmarkStart w:id="24" w:name="_qqlekm60vnk4"/>
      <w:r>
        <w:rPr>
          <w:rFonts w:ascii="Arial" w:hAnsi="Arial" w:eastAsia="Arial" w:cs="Arial"/>
          <w:b/>
          <w:bCs/>
          <w:color w:val="000000"/>
          <w:sz w:val="26"/>
          <w:szCs w:val="26"/>
        </w:rPr>
        <w:t>Key Challenges</w:t>
      </w:r>
      <w:bookmarkEnd w:id="24"/>
    </w:p>
    <w:p w14:paraId="00000087">
      <w:pPr>
        <w:numPr>
          <w:ilvl w:val="0"/>
          <w:numId w:val="13"/>
        </w:numPr>
        <w:spacing w:before="24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Availability of high-quality historical design data</w:t>
      </w:r>
    </w:p>
    <w:p w14:paraId="00000088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Generalization across nodes and design types</w:t>
      </w:r>
    </w:p>
    <w:p w14:paraId="00000089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Integration into existing EDA workflows</w:t>
      </w:r>
    </w:p>
    <w:p w14:paraId="0000008A">
      <w:pPr>
        <w:numPr>
          <w:ilvl w:val="0"/>
          <w:numId w:val="13"/>
        </w:numPr>
        <w:spacing w:before="0" w:after="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Trust and explainability of AI recommendations</w:t>
      </w:r>
    </w:p>
    <w:p w14:paraId="0000008B">
      <w:pPr>
        <w:numPr>
          <w:ilvl w:val="0"/>
          <w:numId w:val="13"/>
        </w:numPr>
        <w:spacing w:before="0" w:after="240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>Adoption and change management within engineering teams</w:t>
      </w:r>
    </w:p>
    <w:p>
      <w:r>
        <w:pict>
          <v:rect style="width:0.0pt;height:1.5pt" o:hr="t" o:hrstd="t" o:hralign="center" fillcolor="#A0A0A0" stroked="f"/>
        </w:pict>
      </w:r>
    </w:p>
    <w:p w14:paraId="0000008D">
      <w:pPr>
        <w:pStyle w:val="Heading2"/>
        <w:spacing w:after="80" w:lineRule="auto"/>
        <w:rPr>
          <w:b/>
          <w:bCs/>
          <w:sz w:val="34"/>
          <w:szCs w:val="34"/>
        </w:rPr>
      </w:pPr>
      <w:bookmarkStart w:id="25" w:name="_ls8afc3a7gau"/>
      <w:r>
        <w:rPr>
          <w:rFonts w:ascii="Arial" w:hAnsi="Arial" w:eastAsia="Arial" w:cs="Arial"/>
          <w:b/>
          <w:bCs/>
          <w:sz w:val="34"/>
          <w:szCs w:val="34"/>
        </w:rPr>
        <w:t>Overall Strategic Takeaway</w:t>
      </w:r>
      <w:bookmarkEnd w:id="25"/>
    </w:p>
    <w:p w14:paraId="0000008E">
      <w:pPr>
        <w:spacing w:before="240" w:after="240" w:lineRule="auto"/>
        <w:rPr/>
      </w:pPr>
      <w:r>
        <w:rPr>
          <w:rFonts w:ascii="Arial" w:hAnsi="Arial" w:eastAsia="Arial" w:cs="Arial"/>
          <w:sz w:val="22"/>
          <w:szCs w:val="22"/>
        </w:rPr>
        <w:t>The Design &amp; IP section of the semiconductor value chain is highly software- and knowledge-intensive. It is dominated by EDA platforms, reusable IP blocks, verification tools, and increasingly AI-enabled workflows.</w:t>
      </w:r>
    </w:p>
    <w:p w14:paraId="0000008F">
      <w:pPr>
        <w:spacing w:before="240" w:after="240" w:lineRule="auto"/>
        <w:rPr/>
      </w:pPr>
      <w:r>
        <w:rPr>
          <w:rFonts w:ascii="Arial" w:hAnsi="Arial" w:eastAsia="Arial" w:cs="Arial"/>
          <w:sz w:val="22"/>
          <w:szCs w:val="22"/>
        </w:rPr>
        <w:t>The most important business insight is that while manufacturing attracts much of the attention, the design layer creates significant value before a chip ever reaches the fab. EDA tools and IP providers reduce design risk, shorten development cycles, and directly influence chip performance, cost, and manufacturability.</w:t>
      </w:r>
    </w:p>
    <w:p w14:paraId="00000090">
      <w:pPr>
        <w:rPr/>
      </w:pPr>
    </w:p>
    <w:sectPr>
      <w:pgSz w:w="12240" w:h="15840"/>
      <w:pgMar w:top="1440" w:right="1440" w:bottom="1440" w:lef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modified xsi:type="dcterms:W3CDTF">2026-06-27T05:22:23.010Z</dcterms:modified>
</cp:coreProperties>
</file>