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Contributors: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Aaron Davidson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“support.”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Alex Faull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“topBase.”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Christopher Marvelle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“pyramid.”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Huantong “Jenny” Ji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“base.”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Quynh “Julie” Duong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“pyramid.”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Wonjun Lee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“support.”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Youssef Ben Taleb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Wrote the method “topBase.”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Goal: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 Write a program that produces the figure (which vaguely resembles the Seattle Space Needle) as its output using nested “for” loops. Use a class constant to make it possible to change the size of the figure.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Our Process: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Seeing that the figure was able to be made into sections we divided the shape into four parts; “support,” “topBase,” “pyramid,” and “base.”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On Canvas, each member was assigned a section to write a method that will produce a working product.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Each section must use a class constant that will “scale the printed figure.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Each member was to use the book to determine how the base scale of 4 scaled the figure.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After the majority of the team had submitted their section, the group met up on campus to compile our parts.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Once all of the methods were imported, the code was tested to see if the printed figure scaled appropriately.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Adjustments to the code were made, mainly producing proper spacing for alignment.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Once the completed code had been compiled and tested, comments were reviewed for clarity.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Each method includes a comment that credits the authors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1c1e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c1e29"/>
          <w:sz w:val="24"/>
          <w:szCs w:val="24"/>
          <w:highlight w:val="white"/>
          <w:rtl w:val="0"/>
        </w:rPr>
        <w:t xml:space="preserve">While the methods were not identical to the original submissions, the program as a whole now produces the requested figure, and it is scalable.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Team Project #1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CS210 Fall 2019</w:t>
    </w:r>
  </w:p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tl w:val="0"/>
      </w:rPr>
      <w:t xml:space="preserve">Team5TP01 - Project #7 “the space needle”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