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02 — Определение систем-получателей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Цель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каждого исходящего потока данных определены возможные системы-получатели, выбраны основные получатели и приведено обоснование необходимости передачи данных.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Определение систем-получателей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13"/>
        <w:gridCol w:w="2575"/>
        <w:gridCol w:w="1384"/>
        <w:gridCol w:w="338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Поток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Возможные системы-получатели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Выбранная система-получатель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Обоснование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заказах для бухгалтерии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ERP, бухгалтерская система, финансовая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Используются для расчета взаиморасчетов с магазинами и предприятиями питания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доставках для расчета оплаты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ERP, бухгалтерская система, система расчета заработной платы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8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Используются для расчета вознаграждения курьеров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Проверка соответствия мастер-систем и получателей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60"/>
        <w:gridCol w:w="1517"/>
        <w:gridCol w:w="1914"/>
        <w:gridCol w:w="1764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6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Поток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Мастер-система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Получатель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Результат проверки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заказах для бухгалтерии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Соответствует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доставках для расчета оплаты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1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Бухгалтерская 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Соответствует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Вывод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исходящие потоки формируются системой доставки и передаются в бухгалтерскую систему для выполнения финансовых расчетов.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2026-06-23T13:55:40Z</dcterms:modified>
</cp:coreProperties>
</file>