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05 — Определение требований к объему и количеству потоков данных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4"/>
        <w:gridCol w:w="2194"/>
        <w:gridCol w:w="1749"/>
        <w:gridCol w:w="1296"/>
        <w:gridCol w:w="1111"/>
        <w:gridCol w:w="1769"/>
        <w:gridCol w:w="113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Поток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Среднее количество сообщений в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Средний размер сообщения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Пиковый период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Пиковое количество сообщений в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Пиковый объем данных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нового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12:00–14:00, 18:00–21:00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0,9 МБ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Справочник точек комплектации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Первоначальная загрузка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0,2 МБ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Бронирование заказа курьером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11:00–13:00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 МБ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доставки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12:00–14:00, 19:00–21:00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0,9 МБ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заказах для бухгалтерии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выгрузка в день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23:00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 МБ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доставках для расчета оплаты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выгрузка в день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 КБ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23:30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0,05 МБ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Вывод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Наибольшая нагрузка приходится на потоки создания заказов и обновления статусов доставки. Передача данных в бухгалтерскую систему выполняется пакетно и не оказывает существенного влияния на производительность системы.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2026-06-23T13:56:41Z</dcterms:modified>
</cp:coreProperties>
</file>