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Exercise 06 — Определение частоты и сроков передачи данных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06"/>
        <w:gridCol w:w="1264"/>
        <w:gridCol w:w="1160"/>
        <w:gridCol w:w="1024"/>
        <w:gridCol w:w="1059"/>
        <w:gridCol w:w="1354"/>
        <w:gridCol w:w="1388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Поток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Желаемая частота передачи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Желаемый срок доставки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Минимальная частота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9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Максимальная частота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Минимальный срок доставки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Максимальный срок доставки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нового заказа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событию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 5 секунд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раз в минуту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секунда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минута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Справочник точек комплектации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Однократно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 10 минут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Однократно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требованию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минута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 минут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Бронирование заказа курьером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событию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 3 секунд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 запросов в минуту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секунда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 секунд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Статус доставки заказа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событию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 5 секунд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Мгновенно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 запросов в минуту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секунда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минута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о заказах для бухгалтерии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Ежедневно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 24 часов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раз в сутки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раз в неделю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час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 часа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о доставках для расчета оплаты курьеров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Ежедневно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 24 часов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раз в сутки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раз в неделю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час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 часа</w:t>
            </w:r>
            <w:r/>
          </w:p>
        </w:tc>
      </w:tr>
    </w:tbl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Вывод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Операционные потоки, связанные с работой курьеров и обработкой заказов, требуют передачи данных в режиме близком к реальному времени. Финансовые потоки могут передаваться пакетно с периодичностью один раз в сутки.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2026-06-23T13:57:03Z</dcterms:modified>
</cp:coreProperties>
</file>