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B3A57"/>
          <w:sz w:val="30"/>
          <w:szCs w:val="30"/>
        </w:rPr>
        <w:t xml:space="preserve">Common Partners — the deal-finding platform, on one page</w:t>
      </w:r>
    </w:p>
    <w:p>
      <w:pPr>
        <w:spacing w:after="120"/>
      </w:pPr>
      <w:r>
        <w:rPr>
          <w:i/>
          <w:iCs/>
          <w:color w:val="5A6B7A"/>
          <w:sz w:val="19"/>
          <w:szCs w:val="19"/>
        </w:rPr>
        <w:t xml:space="preserve">A system that watches every UK company, finds independent skincare and personal-care brands that fit our box, scores them against our thesis, and hands us a short ranked list every Monday. We spend our time judging the best few — not hunting.</w:t>
      </w:r>
    </w:p>
    <w:p>
      <w:pPr>
        <w:spacing w:after="60" w:before="160"/>
      </w:pPr>
      <w:r>
        <w:rPr>
          <w:b/>
          <w:bCs/>
          <w:color w:val="1B3A57"/>
          <w:sz w:val="22"/>
          <w:szCs w:val="22"/>
        </w:rPr>
        <w:t xml:space="preserve">Where deals come from</w:t>
      </w:r>
    </w:p>
    <w:p>
      <w:pPr>
        <w:spacing w:after="60"/>
      </w:pPr>
      <w:r>
        <w:drawing>
          <wp:inline distT="0" distB="0" distL="0" distR="0">
            <wp:extent cx="6334125" cy="1476375"/>
            <wp:effectExtent t="0" r="0" b="0" l="0"/>
            <wp:docPr id="1" name="sourcing" descr="Sourcing pipeline diagram" title="Sourcing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222222"/>
          <w:sz w:val="19"/>
          <w:szCs w:val="19"/>
        </w:rPr>
        <w:t xml:space="preserve">The edge is timing and signals, not the raw data. Companies House publishes directors’ ages, tenures and ownership changes — so the system spots the classic pattern (owner 65–75, 15+ years at the helm, board changes starting) </w:t>
      </w:r>
      <w:r>
        <w:rPr>
          <w:i/>
          <w:iCs/>
          <w:color w:val="222222"/>
          <w:sz w:val="19"/>
          <w:szCs w:val="19"/>
        </w:rPr>
        <w:t xml:space="preserve">before</w:t>
      </w:r>
      <w:r>
        <w:rPr>
          <w:color w:val="222222"/>
          <w:sz w:val="19"/>
          <w:szCs w:val="19"/>
        </w:rPr>
        <w:t xml:space="preserve"> a broker does. Brands that fit but aren’t ready sit on a watchlist; the week a succession signal fires, they’re back in front of us.</w:t>
      </w:r>
    </w:p>
    <w:p>
      <w:pPr>
        <w:spacing w:after="60" w:before="160"/>
      </w:pPr>
      <w:r>
        <w:rPr>
          <w:b/>
          <w:bCs/>
          <w:color w:val="1B3A57"/>
          <w:sz w:val="22"/>
          <w:szCs w:val="22"/>
        </w:rPr>
        <w:t xml:space="preserve">How scoring works</w:t>
      </w:r>
    </w:p>
    <w:p>
      <w:pPr>
        <w:spacing w:after="80"/>
      </w:pPr>
      <w:r>
        <w:rPr>
          <w:b/>
          <w:bCs/>
          <w:color w:val="222222"/>
          <w:sz w:val="19"/>
          <w:szCs w:val="19"/>
        </w:rPr>
        <w:t xml:space="preserve">Gate first. </w:t>
      </w:r>
      <w:r>
        <w:rPr>
          <w:color w:val="222222"/>
          <w:sz w:val="19"/>
          <w:szCs w:val="19"/>
        </w:rPr>
        <w:t xml:space="preserve">Before anything is ranked it must pass a fit gate: consumer product (not tech), right size, established and profitable, UK, and some sign the owner may sell. Clear misses stop there; borderline cases queue for a human look — nothing is quietly dropped.</w:t>
      </w:r>
    </w:p>
    <w:p>
      <w:pPr>
        <w:spacing w:after="80"/>
      </w:pPr>
      <w:r>
        <w:rPr>
          <w:b/>
          <w:bCs/>
          <w:color w:val="222222"/>
          <w:sz w:val="19"/>
          <w:szCs w:val="19"/>
        </w:rPr>
        <w:t xml:space="preserve">Then a 0–100 score. </w:t>
      </w:r>
      <w:r>
        <w:rPr>
          <w:color w:val="222222"/>
          <w:sz w:val="19"/>
          <w:szCs w:val="19"/>
        </w:rPr>
        <w:t xml:space="preserve">Built from public filings, the company’s website and tech stack, reviews (Trustpilot, Google), social presence and stockists — seven dimensions, each 0–5, weighted:</w:t>
      </w:r>
    </w:p>
    <w:tbl>
      <w:tblPr>
        <w:tblW w:type="dxa" w:w="100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850"/>
        <w:gridCol w:w="6446"/>
      </w:tblGrid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1B3A5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we score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1B3A5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1B3A5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a top mark looks like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Brand &amp; customer equity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Genuinely loved — high volume of strong reviews, repeat custom, awards, press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Latent digital &amp; marketing upside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Strong product, weak digital — a big gap we know how to close (our value-add)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Financial quality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Healthy margins, steady or growing, clean balance sheet, no one dominant customer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Deal accessibility &amp; seller readiness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Owner near retirement, long tenure, off-market and unadvised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Team &amp; continuity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Capable team that stays — the business isn’t just the founder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Market &amp; consolidation potential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Fragmented category with roll-up or bolt-on headroom</w:t>
            </w:r>
          </w:p>
        </w:tc>
      </w:tr>
      <w:tr>
        <w:tc>
          <w:tcPr>
            <w:tcW w:type="dxa" w:w="27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Differentiation &amp; durability</w:t>
            </w:r>
          </w:p>
        </w:tc>
        <w:tc>
          <w:tcPr>
            <w:tcW w:type="dxa" w:w="850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5%</w:t>
            </w:r>
          </w:p>
        </w:tc>
        <w:tc>
          <w:tcPr>
            <w:tcW w:type="dxa" w:w="6446"/>
            <w:tcBorders>
              <w:top w:val="single" w:color="C9D5DF" w:sz="1"/>
              <w:left w:val="single" w:color="C9D5DF" w:sz="1"/>
              <w:bottom w:val="single" w:color="C9D5DF" w:sz="1"/>
              <w:right w:val="single" w:color="C9D5D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Real positioning — science, IP or heritage, not a me-too</w:t>
            </w:r>
          </w:p>
        </w:tc>
      </w:tr>
    </w:tbl>
    <w:p>
      <w:pPr>
        <w:spacing w:after="60"/>
      </w:pPr>
      <w:r>
        <w:rPr>
          <w:color w:val="222222"/>
          <w:sz w:val="19"/>
          <w:szCs w:val="19"/>
        </w:rPr>
        <w:t xml:space="preserve">Hard facts (sizes, ages, review counts) are scored by fixed rules; judgement calls (is it </w:t>
      </w:r>
      <w:r>
        <w:rPr>
          <w:i/>
          <w:iCs/>
          <w:color w:val="222222"/>
          <w:sz w:val="19"/>
          <w:szCs w:val="19"/>
        </w:rPr>
        <w:t xml:space="preserve">genuinely</w:t>
      </w:r>
      <w:r>
        <w:rPr>
          <w:color w:val="222222"/>
          <w:sz w:val="19"/>
          <w:szCs w:val="19"/>
        </w:rPr>
        <w:t xml:space="preserve"> loved? how big is the gap?) are scored by AI against written definitions of every mark. Every score shows its evidence — click any company and see exactly why it ranks where it does. Red flags (one dominant customer, structural decline, owner-is-the-business) block a company from the shortlist until we’ve looked it in the eye.</w:t>
      </w:r>
    </w:p>
    <w:p>
      <w:pPr>
        <w:spacing w:after="120"/>
      </w:pPr>
      <w:r>
        <w:rPr>
          <w:b/>
          <w:bCs/>
          <w:color w:val="222222"/>
          <w:sz w:val="19"/>
          <w:szCs w:val="19"/>
        </w:rPr>
        <w:t xml:space="preserve">The weights are our starting opinion — yours to set. </w:t>
      </w:r>
      <w:r>
        <w:rPr>
          <w:color w:val="222222"/>
          <w:sz w:val="19"/>
          <w:szCs w:val="19"/>
        </w:rPr>
        <w:t xml:space="preserve">Every accept or reject we record teaches the system; it proposes weight changes over time but never makes them without us.</w:t>
      </w:r>
    </w:p>
    <w:p>
      <w:pPr>
        <w:pBdr>
          <w:top w:val="single" w:color="26537A" w:sz="6" w:space="4"/>
        </w:pBdr>
        <w:spacing w:after="0" w:before="40"/>
      </w:pPr>
      <w:r>
        <w:rPr>
          <w:b/>
          <w:bCs/>
          <w:color w:val="1B3A57"/>
          <w:sz w:val="19"/>
          <w:szCs w:val="19"/>
        </w:rPr>
        <w:t xml:space="preserve">What it asks of us: </w:t>
      </w:r>
      <w:r>
        <w:rPr>
          <w:color w:val="222222"/>
          <w:sz w:val="19"/>
          <w:szCs w:val="19"/>
        </w:rPr>
        <w:t xml:space="preserve">20–30 minutes on a Monday — review the new names and watchlist fires, accept or reject with a reason, and once: argue the weights over a coffee.</w:t>
      </w:r>
    </w:p>
    <w:sectPr>
      <w:pgSz w:w="11906" w:h="16838" w:orient="portrait"/>
      <w:pgMar w:top="800" w:right="930" w:bottom="700" w:left="9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de2a4f81c4edc1bed42214ea3149ef6f56a8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2026-07-07T23:45:31.769Z</dcterms:created>
  <dcterms:modified xsi:type="dcterms:W3CDTF">2026-07-07T23:45:31.770Z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