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 Structured Three-Day Psychological Intervention Framework</w:t>
        <w:br/>
      </w:r>
      <w:r>
        <w:rPr>
          <w:b/>
        </w:rPr>
        <w:t>for Communities Displaced by Government-Imposed Evictions</w:t>
        <w:br/>
      </w:r>
      <w:r>
        <w:rPr>
          <w:b/>
        </w:rPr>
        <w:t>on Encroached Spaces: A Disaster Mental Health Approach</w:t>
        <w:br/>
        <w:br/>
      </w:r>
      <w:r>
        <w:t>Author Name</w:t>
        <w:br/>
      </w:r>
      <w:r>
        <w:t>Department of Psychology</w:t>
        <w:br/>
      </w:r>
      <w:r>
        <w:t>Institution Name</w:t>
        <w:br/>
      </w:r>
      <w:r>
        <w:t>April 27, 2026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paper presents a structured three-day psychological intervention framework for communities forcibly displaced from encroached spaces by government eviction. It integrates Psychological First Aid, Crisis Intervention Theory, Trauma-Informed Care, Community Resilience Theory, and Disaster Mental Health models. The framework addresses anger, grief, mistrust, trauma responses, and ethical information gathering.</w:t>
      </w:r>
    </w:p>
    <w:p>
      <w:r>
        <w:t>Keywords: forced eviction, displacement trauma, psychological intervention, disaster mental health</w:t>
      </w:r>
    </w:p>
    <w:p>
      <w:pPr>
        <w:pStyle w:val="Heading1"/>
      </w:pPr>
      <w:r>
        <w:t>Introduction</w:t>
      </w:r>
    </w:p>
    <w:p>
      <w:r>
        <w:t>Forced evictions create trauma similar to human-made disasters...</w:t>
      </w:r>
    </w:p>
    <w:p>
      <w:pPr>
        <w:pStyle w:val="Heading1"/>
      </w:pPr>
      <w:r>
        <w:t>Theoretical Foundations</w:t>
      </w:r>
    </w:p>
    <w:p>
      <w:r>
        <w:t>Includes PFA, COR Theory, Bronfenner ecological model, TIC.</w:t>
      </w:r>
    </w:p>
    <w:p>
      <w:pPr>
        <w:pStyle w:val="Heading1"/>
      </w:pPr>
      <w:r>
        <w:t>Day 1: Safety and Stabilization</w:t>
      </w:r>
    </w:p>
    <w:p>
      <w:r>
        <w:t>Focus on trust-building, emotional ventilation, needs assessment.</w:t>
      </w:r>
    </w:p>
    <w:p>
      <w:pPr>
        <w:pStyle w:val="Heading1"/>
      </w:pPr>
      <w:r>
        <w:t>Day 2: Emotional Processing</w:t>
      </w:r>
    </w:p>
    <w:p>
      <w:r>
        <w:t>Focus on grief acknowledgment, psychoeducation, coping skills.</w:t>
      </w:r>
    </w:p>
    <w:p>
      <w:pPr>
        <w:pStyle w:val="Heading1"/>
      </w:pPr>
      <w:r>
        <w:t>Day 3: Resilience and Forward Planning</w:t>
      </w:r>
    </w:p>
    <w:p>
      <w:r>
        <w:t>Focus on rebuilding agency and linking resources.</w:t>
      </w:r>
    </w:p>
    <w:p>
      <w:pPr>
        <w:pStyle w:val="Heading1"/>
      </w:pPr>
      <w:r>
        <w:t>Vulnerable Groups</w:t>
      </w:r>
    </w:p>
    <w:p>
      <w:r>
        <w:t>Children, elderly, women, and persons with disabilities need tailored interventions.</w:t>
      </w:r>
    </w:p>
    <w:p>
      <w:pPr>
        <w:pStyle w:val="Heading1"/>
      </w:pPr>
      <w:r>
        <w:t>Ethical Considerations</w:t>
      </w:r>
    </w:p>
    <w:p>
      <w:r>
        <w:t>Consent, neutrality, avoiding retraumatization.</w:t>
      </w:r>
    </w:p>
    <w:p>
      <w:pPr>
        <w:pStyle w:val="Heading1"/>
      </w:pPr>
      <w:r>
        <w:t>Conclusion</w:t>
      </w:r>
    </w:p>
    <w:p>
      <w:r>
        <w:t>The model provides practical disaster mental health intervention after forced displacement.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ind w:left="720" w:hanging="720"/>
      </w:pPr>
      <w:r>
        <w:t>Bronfenbrenner, U. (1979). The ecology of human development.</w:t>
      </w:r>
    </w:p>
    <w:p>
      <w:pPr>
        <w:ind w:left="720" w:hanging="720"/>
      </w:pPr>
      <w:r>
        <w:t>Caplan, G. (1964). Principles of preventive psychiatry.</w:t>
      </w:r>
    </w:p>
    <w:p>
      <w:pPr>
        <w:ind w:left="720" w:hanging="720"/>
      </w:pPr>
      <w:r>
        <w:t>Fullilove, M. T. (2004). Root shock.</w:t>
      </w:r>
    </w:p>
    <w:p>
      <w:pPr>
        <w:ind w:left="720" w:hanging="720"/>
      </w:pPr>
      <w:r>
        <w:t>Hobfoll, S. E. (1989). Conservation of resources.</w:t>
      </w:r>
    </w:p>
    <w:p>
      <w:pPr>
        <w:ind w:left="720" w:hanging="720"/>
      </w:pPr>
      <w:r>
        <w:t>World Health Organization. (2011). Psychological first aid.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