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 Structured Three-Day Psychological Intervention Framework for Communities Displaced by Government-Imposed Evictions on Encroached Spaces</w:t>
        <w:br/>
      </w:r>
      <w:r>
        <w:rPr>
          <w:b/>
        </w:rPr>
        <w:t>A Disaster Mental Health Approach</w:t>
        <w:br/>
        <w:br/>
      </w:r>
      <w:r>
        <w:t>Author Name</w:t>
        <w:br/>
        <w:t>Department of Psychology</w:t>
        <w:br/>
        <w:t>Institution Name</w:t>
        <w:br/>
        <w:t>April 27, 2026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spacing w:line="480" w:lineRule="auto"/>
        <w:ind w:firstLine="720"/>
      </w:pPr>
      <w:r>
        <w:t>Government-imposed eviction of residents from encroached settlements creates psychological consequences similar to human-made disasters. This paper presents a detailed three-day intervention framework integrating Psychological First Aid (PFA), Crisis Intervention Theory, Trauma-Informed Care, Community Resilience Theory, Conservation of Resources Theory, and Ecological Systems Theory. The framework addresses shock, rage, mistrust toward authorities, grief, social fragmentation, and long-term resilience rebuilding.</w:t>
      </w:r>
    </w:p>
    <w:p>
      <w:pPr>
        <w:pStyle w:val="Heading1"/>
      </w:pPr>
      <w:r>
        <w:t>Introduction</w:t>
      </w:r>
    </w:p>
    <w:p>
      <w:pPr>
        <w:spacing w:line="480" w:lineRule="auto"/>
        <w:ind w:firstLine="720"/>
      </w:pPr>
      <w:r>
        <w:t>Forced eviction removes not only housing but identity, safety, community belonging, and livelihood security. Residents often experience humiliation, betrayal, grief, rage, PTSD symptoms, and distrust of government institutions.</w:t>
      </w:r>
    </w:p>
    <w:p>
      <w:pPr>
        <w:pStyle w:val="Heading1"/>
      </w:pPr>
      <w:r>
        <w:t>Theoretical Foundations</w:t>
      </w:r>
    </w:p>
    <w:p>
      <w:pPr>
        <w:spacing w:line="480" w:lineRule="auto"/>
        <w:ind w:firstLine="720"/>
      </w:pPr>
      <w:r>
        <w:t>This framework integrates:</w:t>
        <w:br/>
        <w:t>1. Disaster Mental Health Model</w:t>
        <w:br/>
        <w:t>2. Psychological First Aid</w:t>
        <w:br/>
        <w:t>3. Crisis Intervention Theory</w:t>
        <w:br/>
        <w:t>4. Conservation of Resources Theory</w:t>
        <w:br/>
        <w:t>5. Bronfenbrenner Ecological Systems Theory</w:t>
        <w:br/>
        <w:t>6. Trauma-Informed Care principles</w:t>
      </w:r>
    </w:p>
    <w:p>
      <w:pPr>
        <w:pStyle w:val="Heading1"/>
      </w:pPr>
      <w:r>
        <w:t>Operational Challenges</w:t>
      </w:r>
    </w:p>
    <w:p>
      <w:pPr>
        <w:spacing w:line="480" w:lineRule="auto"/>
        <w:ind w:firstLine="720"/>
      </w:pPr>
      <w:r>
        <w:t>Affected communities may be highly angry and resistant. Information collection immediately after displacement often fails because individuals perceive authorities as perpetrators. Neutral facilitators are essential.</w:t>
      </w:r>
    </w:p>
    <w:p>
      <w:pPr>
        <w:pStyle w:val="Heading1"/>
      </w:pPr>
      <w:r>
        <w:t>Day 1: Safety, Stabilization, and Trust Building</w:t>
      </w:r>
    </w:p>
    <w:p>
      <w:pPr>
        <w:spacing w:line="480" w:lineRule="auto"/>
        <w:ind w:firstLine="720"/>
      </w:pPr>
      <w:r>
        <w:t>0–10 min: Introductions and transparency</w:t>
        <w:br/>
        <w:t>10–20 min: Open emotional ventilation</w:t>
        <w:br/>
        <w:t>20–30 min: Active listening</w:t>
        <w:br/>
        <w:t>30–40 min: Grounding exercises</w:t>
        <w:br/>
        <w:t>40–50 min: Immediate needs mapping</w:t>
        <w:br/>
        <w:t>50–60 min: Closing and referrals</w:t>
      </w:r>
    </w:p>
    <w:p>
      <w:pPr>
        <w:spacing w:line="480" w:lineRule="auto"/>
        <w:ind w:firstLine="720"/>
      </w:pPr>
      <w:r>
        <w:t>Goals:</w:t>
        <w:br/>
        <w:t>• Build trust</w:t>
        <w:br/>
        <w:t>• Reduce emotional escalation</w:t>
        <w:br/>
        <w:t>• Identify urgent needs</w:t>
        <w:br/>
        <w:t>• Establish psychological safety</w:t>
      </w:r>
    </w:p>
    <w:p>
      <w:pPr>
        <w:pStyle w:val="Heading1"/>
      </w:pPr>
      <w:r>
        <w:t>Day 2: Emotional Processing and Psychoeducation</w:t>
      </w:r>
    </w:p>
    <w:p>
      <w:pPr>
        <w:spacing w:line="480" w:lineRule="auto"/>
        <w:ind w:firstLine="720"/>
      </w:pPr>
      <w:r>
        <w:t>0–10 min: Emotional check-in</w:t>
        <w:br/>
        <w:t>10–20 min: Psychoeducation on trauma</w:t>
        <w:br/>
        <w:t>20–35 min: Loss inventory exercise</w:t>
        <w:br/>
        <w:t>35–45 min: Breathing exercises</w:t>
        <w:br/>
        <w:t>45–55 min: Community support mapping</w:t>
        <w:br/>
        <w:t>55–60 min: Session closure</w:t>
      </w:r>
    </w:p>
    <w:p>
      <w:pPr>
        <w:spacing w:line="480" w:lineRule="auto"/>
        <w:ind w:firstLine="720"/>
      </w:pPr>
      <w:r>
        <w:t>Goals:</w:t>
        <w:br/>
        <w:t>• Normalize trauma reactions</w:t>
        <w:br/>
        <w:t>• Reduce shame</w:t>
        <w:br/>
        <w:t>• Help participants process grief</w:t>
        <w:br/>
        <w:t>• Restore community cohesion</w:t>
      </w:r>
    </w:p>
    <w:p>
      <w:pPr>
        <w:pStyle w:val="Heading1"/>
      </w:pPr>
      <w:r>
        <w:t>Day 3: Resilience and Future Planning</w:t>
      </w:r>
    </w:p>
    <w:p>
      <w:pPr>
        <w:spacing w:line="480" w:lineRule="auto"/>
        <w:ind w:firstLine="720"/>
      </w:pPr>
      <w:r>
        <w:t>0–10 min: Recovery timeline discussion</w:t>
        <w:br/>
        <w:t>10–25 min: Strength identification</w:t>
        <w:br/>
        <w:t>25–40 min: Action planning</w:t>
        <w:br/>
        <w:t>40–50 min: Resource linkage</w:t>
        <w:br/>
        <w:t>50–60 min: Community closure ritual</w:t>
      </w:r>
    </w:p>
    <w:p>
      <w:pPr>
        <w:spacing w:line="480" w:lineRule="auto"/>
        <w:ind w:firstLine="720"/>
      </w:pPr>
      <w:r>
        <w:t>Goals:</w:t>
        <w:br/>
        <w:t>• Restore agency</w:t>
        <w:br/>
        <w:t>• Build resilience</w:t>
        <w:br/>
        <w:t>• Connect services</w:t>
        <w:br/>
        <w:t>• Promote future adaptation</w:t>
      </w:r>
    </w:p>
    <w:p>
      <w:pPr>
        <w:pStyle w:val="Heading1"/>
      </w:pPr>
      <w:r>
        <w:t>Working with Vulnerable Groups</w:t>
      </w:r>
    </w:p>
    <w:p>
      <w:pPr>
        <w:spacing w:line="480" w:lineRule="auto"/>
        <w:ind w:firstLine="720"/>
      </w:pPr>
      <w:r>
        <w:t>Children: play therapy and art interventions</w:t>
        <w:br/>
        <w:t>Elderly: narrative grief support</w:t>
        <w:br/>
        <w:t>Women: safety planning and gender-specific support</w:t>
        <w:br/>
        <w:t>Disabled individuals: accessibility-focused interventions</w:t>
      </w:r>
    </w:p>
    <w:p>
      <w:pPr>
        <w:pStyle w:val="Heading1"/>
      </w:pPr>
      <w:r>
        <w:t>Ethical Guidelines</w:t>
      </w:r>
    </w:p>
    <w:p>
      <w:pPr>
        <w:spacing w:line="480" w:lineRule="auto"/>
        <w:ind w:firstLine="720"/>
      </w:pPr>
      <w:r>
        <w:t>• Informed consent</w:t>
        <w:br/>
        <w:t>• Avoid retraumatization</w:t>
        <w:br/>
        <w:t>• No coercive data extraction</w:t>
        <w:br/>
        <w:t>• Maintain neutrality</w:t>
        <w:br/>
        <w:t>• Protect confidentiality</w:t>
      </w:r>
    </w:p>
    <w:p>
      <w:pPr>
        <w:pStyle w:val="Heading1"/>
      </w:pPr>
      <w:r>
        <w:t>Information Collection During Anger Phase</w:t>
      </w:r>
    </w:p>
    <w:p>
      <w:pPr>
        <w:spacing w:line="480" w:lineRule="auto"/>
        <w:ind w:firstLine="720"/>
      </w:pPr>
      <w:r>
        <w:t>Do not interrogate participants immediately.</w:t>
        <w:br/>
        <w:t>Use phased interviewing:</w:t>
        <w:br/>
        <w:t>Phase 1: Safety needs</w:t>
        <w:br/>
        <w:t>Phase 2: Emotional stabilization</w:t>
        <w:br/>
        <w:t>Phase 3: Structured information gathering</w:t>
        <w:br/>
        <w:t>Phase 4: Long-term follow-up interviews</w:t>
      </w:r>
    </w:p>
    <w:p>
      <w:pPr>
        <w:spacing w:line="480" w:lineRule="auto"/>
        <w:ind w:firstLine="720"/>
      </w:pPr>
      <w:r>
        <w:t>Use empathy-driven questions:</w:t>
        <w:br/>
        <w:t>'What concerns you most right now?'</w:t>
        <w:br/>
        <w:t>'Who in your family needs immediate help?'</w:t>
        <w:br/>
        <w:t>'What support do you need today?'</w:t>
      </w:r>
    </w:p>
    <w:p>
      <w:pPr>
        <w:pStyle w:val="Heading1"/>
      </w:pPr>
      <w:r>
        <w:t>Long-Term Recommendations</w:t>
      </w:r>
    </w:p>
    <w:p>
      <w:pPr>
        <w:spacing w:line="480" w:lineRule="auto"/>
        <w:ind w:firstLine="720"/>
      </w:pPr>
      <w:r>
        <w:t>Weekly follow-ups</w:t>
        <w:br/>
        <w:t>Community rebuilding programs</w:t>
        <w:br/>
        <w:t>Livelihood restoration</w:t>
        <w:br/>
        <w:t>School reintegration</w:t>
        <w:br/>
        <w:t>Trauma counseling referrals</w:t>
        <w:br/>
        <w:t>Policy advocacy</w:t>
      </w:r>
    </w:p>
    <w:p>
      <w:pPr>
        <w:pStyle w:val="Heading1"/>
      </w:pPr>
      <w:r>
        <w:t>Conclusion</w:t>
      </w:r>
    </w:p>
    <w:p>
      <w:pPr>
        <w:spacing w:line="480" w:lineRule="auto"/>
        <w:ind w:firstLine="720"/>
      </w:pPr>
      <w:r>
        <w:t>Forced eviction should be treated as a psychological disaster. Effective intervention requires dignity-centered, trauma-informed, ethically grounded responses that prioritize healing over control.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ind w:left="720" w:hanging="720"/>
      </w:pPr>
      <w:r>
        <w:t>Bronfenbrenner, U. (1979). The ecology of human development.</w:t>
      </w:r>
    </w:p>
    <w:p>
      <w:pPr>
        <w:ind w:left="720" w:hanging="720"/>
      </w:pPr>
      <w:r>
        <w:t>Caplan, G. (1964). Principles of preventive psychiatry.</w:t>
      </w:r>
    </w:p>
    <w:p>
      <w:pPr>
        <w:ind w:left="720" w:hanging="720"/>
      </w:pPr>
      <w:r>
        <w:t>Fullilove, M. T. (2004). Root shock.</w:t>
      </w:r>
    </w:p>
    <w:p>
      <w:pPr>
        <w:ind w:left="720" w:hanging="720"/>
      </w:pPr>
      <w:r>
        <w:t>Hobfoll, S. E. (1989). Conservation of resources.</w:t>
      </w:r>
    </w:p>
    <w:p>
      <w:pPr>
        <w:ind w:left="720" w:hanging="720"/>
      </w:pPr>
      <w:r>
        <w:t>SAMHSA. (2014). Trauma-informed care guidelines.</w:t>
      </w:r>
    </w:p>
    <w:p>
      <w:pPr>
        <w:ind w:left="720" w:hanging="720"/>
      </w:pPr>
      <w:r>
        <w:t>WHO. (2011). Psychological first aid guide.</w:t>
      </w:r>
    </w:p>
    <w:p>
      <w:pPr>
        <w:ind w:left="720" w:hanging="720"/>
      </w:pPr>
      <w:r>
        <w:t>UNHCR. (2020). Global displacement trends.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