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Solution Architecture Document - WebCAF (Local Government)</w:t>
      </w:r>
    </w:p>
    <w:p>
      <w:pPr>
        <w:pStyle w:val="Heading1"/>
      </w:pPr>
      <w:r>
        <w:rPr>
          <w:b/>
        </w:rPr>
        <w:t>Table of Contents</w:t>
      </w:r>
    </w:p>
    <w:p>
      <w:pPr>
        <w:pStyle w:val="ListBullet"/>
        <w:ind w:left="240"/>
      </w:pPr>
      <w:hyperlink w:anchor="table-of-contents">
        <w:r>
          <w:rPr>
            <w:u w:val="single"/>
            <w:color w:val="0000FF"/>
          </w:rPr>
          <w:t>Table of contents</w:t>
        </w:r>
      </w:hyperlink>
    </w:p>
    <w:p>
      <w:pPr>
        <w:pStyle w:val="ListBullet"/>
        <w:ind w:left="240"/>
      </w:pPr>
      <w:hyperlink w:anchor="document-control">
        <w:r>
          <w:rPr>
            <w:u w:val="single"/>
            <w:color w:val="0000FF"/>
          </w:rPr>
          <w:t>Document control</w:t>
        </w:r>
      </w:hyperlink>
    </w:p>
    <w:p>
      <w:pPr>
        <w:pStyle w:val="ListBullet"/>
        <w:ind w:left="240"/>
      </w:pPr>
      <w:hyperlink w:anchor="purpose-and-scope">
        <w:r>
          <w:rPr>
            <w:u w:val="single"/>
            <w:color w:val="0000FF"/>
          </w:rPr>
          <w:t>Purpose and scope</w:t>
        </w:r>
      </w:hyperlink>
    </w:p>
    <w:p>
      <w:pPr>
        <w:pStyle w:val="ListBullet"/>
        <w:ind w:left="240"/>
      </w:pPr>
      <w:hyperlink w:anchor="background-and-drivers">
        <w:r>
          <w:rPr>
            <w:u w:val="single"/>
            <w:color w:val="0000FF"/>
          </w:rPr>
          <w:t>Background and drivers</w:t>
        </w:r>
      </w:hyperlink>
    </w:p>
    <w:p>
      <w:pPr>
        <w:pStyle w:val="ListBullet"/>
        <w:ind w:left="240"/>
      </w:pPr>
      <w:hyperlink w:anchor="objectives-and-success-criteria">
        <w:r>
          <w:rPr>
            <w:u w:val="single"/>
            <w:color w:val="0000FF"/>
          </w:rPr>
          <w:t>Objectives and success criteria</w:t>
        </w:r>
      </w:hyperlink>
    </w:p>
    <w:p>
      <w:pPr>
        <w:pStyle w:val="ListBullet"/>
        <w:ind w:left="240"/>
      </w:pPr>
      <w:hyperlink w:anchor="stakeholders-and-users">
        <w:r>
          <w:rPr>
            <w:u w:val="single"/>
            <w:color w:val="0000FF"/>
          </w:rPr>
          <w:t>Stakeholders and users</w:t>
        </w:r>
      </w:hyperlink>
    </w:p>
    <w:p>
      <w:pPr>
        <w:pStyle w:val="ListBullet"/>
        <w:ind w:left="240"/>
      </w:pPr>
      <w:hyperlink w:anchor="assumptions-constraints-and-dependencies">
        <w:r>
          <w:rPr>
            <w:u w:val="single"/>
            <w:color w:val="0000FF"/>
          </w:rPr>
          <w:t>Assumptions, constraints, and dependencies</w:t>
        </w:r>
      </w:hyperlink>
    </w:p>
    <w:p>
      <w:pPr>
        <w:pStyle w:val="ListBullet"/>
        <w:ind w:left="240"/>
      </w:pPr>
      <w:hyperlink w:anchor="requirements">
        <w:r>
          <w:rPr>
            <w:u w:val="single"/>
            <w:color w:val="0000FF"/>
          </w:rPr>
          <w:t>Requirements</w:t>
        </w:r>
      </w:hyperlink>
    </w:p>
    <w:p>
      <w:pPr>
        <w:pStyle w:val="ListBullet"/>
        <w:ind w:left="480"/>
      </w:pPr>
      <w:hyperlink w:anchor="functional-requirements">
        <w:r>
          <w:rPr>
            <w:u w:val="single"/>
            <w:color w:val="0000FF"/>
          </w:rPr>
          <w:t>Functional requirements</w:t>
        </w:r>
      </w:hyperlink>
    </w:p>
    <w:p>
      <w:pPr>
        <w:pStyle w:val="ListBullet"/>
        <w:ind w:left="480"/>
      </w:pPr>
      <w:hyperlink w:anchor="nonfunctional-requirements">
        <w:r>
          <w:rPr>
            <w:u w:val="single"/>
            <w:color w:val="0000FF"/>
          </w:rPr>
          <w:t>Non‑functional requirements</w:t>
        </w:r>
      </w:hyperlink>
    </w:p>
    <w:p>
      <w:pPr>
        <w:pStyle w:val="ListBullet"/>
        <w:ind w:left="240"/>
      </w:pPr>
      <w:hyperlink w:anchor="architecture-overview">
        <w:r>
          <w:rPr>
            <w:u w:val="single"/>
            <w:color w:val="0000FF"/>
          </w:rPr>
          <w:t>Architecture overview</w:t>
        </w:r>
      </w:hyperlink>
    </w:p>
    <w:p>
      <w:pPr>
        <w:pStyle w:val="ListBullet"/>
        <w:ind w:left="480"/>
      </w:pPr>
      <w:hyperlink w:anchor="architecture-views-c4-recommended">
        <w:r>
          <w:rPr>
            <w:u w:val="single"/>
            <w:color w:val="0000FF"/>
          </w:rPr>
          <w:t>Architecture views (C4 recommended)</w:t>
        </w:r>
      </w:hyperlink>
    </w:p>
    <w:p>
      <w:pPr>
        <w:pStyle w:val="ListBullet"/>
        <w:ind w:left="240"/>
      </w:pPr>
      <w:hyperlink w:anchor="application-and-service-architecture">
        <w:r>
          <w:rPr>
            <w:u w:val="single"/>
            <w:color w:val="0000FF"/>
          </w:rPr>
          <w:t>Application and service architecture</w:t>
        </w:r>
      </w:hyperlink>
    </w:p>
    <w:p>
      <w:pPr>
        <w:pStyle w:val="ListBullet"/>
        <w:ind w:left="240"/>
      </w:pPr>
      <w:hyperlink w:anchor="data-architecture">
        <w:r>
          <w:rPr>
            <w:u w:val="single"/>
            <w:color w:val="0000FF"/>
          </w:rPr>
          <w:t>Data architecture</w:t>
        </w:r>
      </w:hyperlink>
    </w:p>
    <w:p>
      <w:pPr>
        <w:pStyle w:val="ListBullet"/>
        <w:ind w:left="240"/>
      </w:pPr>
      <w:hyperlink w:anchor="integration-architecture">
        <w:r>
          <w:rPr>
            <w:u w:val="single"/>
            <w:color w:val="0000FF"/>
          </w:rPr>
          <w:t>Integration architecture</w:t>
        </w:r>
      </w:hyperlink>
    </w:p>
    <w:p>
      <w:pPr>
        <w:pStyle w:val="ListBullet"/>
        <w:ind w:left="240"/>
      </w:pPr>
      <w:hyperlink w:anchor="security-architecture">
        <w:r>
          <w:rPr>
            <w:u w:val="single"/>
            <w:color w:val="0000FF"/>
          </w:rPr>
          <w:t>Security architecture</w:t>
        </w:r>
      </w:hyperlink>
    </w:p>
    <w:p>
      <w:pPr>
        <w:pStyle w:val="ListBullet"/>
        <w:ind w:left="240"/>
      </w:pPr>
      <w:hyperlink w:anchor="infrastructure-and-deployment-architecture">
        <w:r>
          <w:rPr>
            <w:u w:val="single"/>
            <w:color w:val="0000FF"/>
          </w:rPr>
          <w:t>Infrastructure and deployment architecture</w:t>
        </w:r>
      </w:hyperlink>
    </w:p>
    <w:p>
      <w:pPr>
        <w:pStyle w:val="ListBullet"/>
        <w:ind w:left="240"/>
      </w:pPr>
      <w:hyperlink w:anchor="observability-and-operations">
        <w:r>
          <w:rPr>
            <w:u w:val="single"/>
            <w:color w:val="0000FF"/>
          </w:rPr>
          <w:t>Observability and operations</w:t>
        </w:r>
      </w:hyperlink>
    </w:p>
    <w:p>
      <w:pPr>
        <w:pStyle w:val="ListBullet"/>
        <w:ind w:left="240"/>
      </w:pPr>
      <w:hyperlink w:anchor="governance-and-decision-records">
        <w:r>
          <w:rPr>
            <w:u w:val="single"/>
            <w:color w:val="0000FF"/>
          </w:rPr>
          <w:t>Governance and decision records</w:t>
        </w:r>
      </w:hyperlink>
    </w:p>
    <w:p>
      <w:pPr>
        <w:pStyle w:val="ListBullet"/>
        <w:ind w:left="240"/>
      </w:pPr>
      <w:hyperlink w:anchor="standards-and-guidance-alignment">
        <w:r>
          <w:rPr>
            <w:u w:val="single"/>
            <w:color w:val="0000FF"/>
          </w:rPr>
          <w:t>Standards and guidance alignment</w:t>
        </w:r>
      </w:hyperlink>
    </w:p>
    <w:p>
      <w:pPr>
        <w:pStyle w:val="ListBullet"/>
        <w:ind w:left="240"/>
      </w:pPr>
      <w:hyperlink w:anchor="risks-and-mitigations">
        <w:r>
          <w:rPr>
            <w:u w:val="single"/>
            <w:color w:val="0000FF"/>
          </w:rPr>
          <w:t>Risks and mitigations</w:t>
        </w:r>
      </w:hyperlink>
    </w:p>
    <w:p>
      <w:pPr>
        <w:pStyle w:val="ListBullet"/>
        <w:ind w:left="240"/>
      </w:pPr>
      <w:hyperlink w:anchor="cost-model-and-financial-assumptions">
        <w:r>
          <w:rPr>
            <w:u w:val="single"/>
            <w:color w:val="0000FF"/>
          </w:rPr>
          <w:t>Cost model and financial assumptions</w:t>
        </w:r>
      </w:hyperlink>
    </w:p>
    <w:p>
      <w:pPr>
        <w:pStyle w:val="ListBullet"/>
        <w:ind w:left="240"/>
      </w:pPr>
      <w:hyperlink w:anchor="migration-and-transition-plan">
        <w:r>
          <w:rPr>
            <w:u w:val="single"/>
            <w:color w:val="0000FF"/>
          </w:rPr>
          <w:t>Migration and transition plan</w:t>
        </w:r>
      </w:hyperlink>
    </w:p>
    <w:p>
      <w:pPr>
        <w:pStyle w:val="ListBullet"/>
        <w:ind w:left="240"/>
      </w:pPr>
      <w:hyperlink w:anchor="testing-and-assurance">
        <w:r>
          <w:rPr>
            <w:u w:val="single"/>
            <w:color w:val="0000FF"/>
          </w:rPr>
          <w:t>Testing and assurance</w:t>
        </w:r>
      </w:hyperlink>
    </w:p>
    <w:p>
      <w:pPr>
        <w:pStyle w:val="ListBullet"/>
        <w:ind w:left="240"/>
      </w:pPr>
      <w:hyperlink w:anchor="appendix">
        <w:r>
          <w:rPr>
            <w:u w:val="single"/>
            <w:color w:val="0000FF"/>
          </w:rPr>
          <w:t>Appendix</w:t>
        </w:r>
      </w:hyperlink>
    </w:p>
    <w:p>
      <w:pPr>
        <w:pStyle w:val="ListBullet"/>
        <w:ind w:left="480"/>
      </w:pPr>
      <w:hyperlink w:anchor="glossary">
        <w:r>
          <w:rPr>
            <w:u w:val="single"/>
            <w:color w:val="0000FF"/>
          </w:rPr>
          <w:t>Glossary</w:t>
        </w:r>
      </w:hyperlink>
    </w:p>
    <w:p>
      <w:pPr>
        <w:pStyle w:val="ListBullet"/>
        <w:ind w:left="480"/>
      </w:pPr>
      <w:hyperlink w:anchor="references">
        <w:r>
          <w:rPr>
            <w:u w:val="single"/>
            <w:color w:val="0000FF"/>
          </w:rPr>
          <w:t>References</w:t>
        </w:r>
      </w:hyperlink>
      <w:r>
        <w:br/>
      </w:r>
    </w:p>
    <w:p/>
    <w:p>
      <w:bookmarkStart w:id="1" w:name="table-of-contents"/>
      <w:pPr>
        <w:pStyle w:val="Heading2"/>
      </w:pPr>
      <w:r>
        <w:rPr>
          <w:b/>
        </w:rPr>
        <w:t>Table of contents</w:t>
      </w:r>
      <w:bookmarkEnd w:id="1"/>
    </w:p>
    <w:p/>
    <w:p>
      <w:pPr>
        <w:pStyle w:val="ListBullet"/>
      </w:pPr>
      <w:r>
        <w:t>[Document control](#document-control)</w:t>
      </w:r>
    </w:p>
    <w:p>
      <w:pPr>
        <w:pStyle w:val="ListBullet"/>
      </w:pPr>
      <w:r>
        <w:t>[Purpose and scope](#purpose-and-scope)</w:t>
      </w:r>
    </w:p>
    <w:p>
      <w:pPr>
        <w:pStyle w:val="ListBullet"/>
      </w:pPr>
      <w:r>
        <w:t>[Background and drivers](#background-and-drivers)</w:t>
      </w:r>
    </w:p>
    <w:p>
      <w:pPr>
        <w:pStyle w:val="ListBullet"/>
      </w:pPr>
      <w:r>
        <w:t>[Objectives and success criteria](#objectives-and-success-criteria)</w:t>
      </w:r>
    </w:p>
    <w:p>
      <w:pPr>
        <w:pStyle w:val="ListBullet"/>
      </w:pPr>
      <w:r>
        <w:t>[Stakeholders and users](#stakeholders-and-users)</w:t>
      </w:r>
    </w:p>
    <w:p>
      <w:pPr>
        <w:pStyle w:val="ListBullet"/>
      </w:pPr>
      <w:r>
        <w:t>[Assumptions, constraints, and dependencies](#assumptions-constraints-and-dependencies)</w:t>
      </w:r>
    </w:p>
    <w:p>
      <w:pPr>
        <w:pStyle w:val="ListBullet"/>
      </w:pPr>
      <w:r>
        <w:t>[Requirements](#requirements)</w:t>
      </w:r>
    </w:p>
    <w:p>
      <w:r>
        <w:t xml:space="preserve">  - [Functional requirements](#functional-requirements)</w:t>
      </w:r>
    </w:p>
    <w:p>
      <w:r>
        <w:t xml:space="preserve">  - [Non-functional requirements](#non-functional-requirements)</w:t>
      </w:r>
    </w:p>
    <w:p>
      <w:pPr>
        <w:pStyle w:val="ListBullet"/>
      </w:pPr>
      <w:r>
        <w:t>[Architecture overview](#architecture-overview)</w:t>
      </w:r>
    </w:p>
    <w:p>
      <w:r>
        <w:t xml:space="preserve">  - [Architecture views (C4 recommended)](#architecture-views-c4-recommended)</w:t>
      </w:r>
    </w:p>
    <w:p>
      <w:pPr>
        <w:pStyle w:val="ListBullet"/>
      </w:pPr>
      <w:r>
        <w:t>[Application and service architecture](#application-and-service-architecture)</w:t>
      </w:r>
    </w:p>
    <w:p>
      <w:pPr>
        <w:pStyle w:val="ListBullet"/>
      </w:pPr>
      <w:r>
        <w:t>[Data architecture](#data-architecture)</w:t>
      </w:r>
    </w:p>
    <w:p>
      <w:pPr>
        <w:pStyle w:val="ListBullet"/>
      </w:pPr>
      <w:r>
        <w:t>[Integration architecture](#integration-architecture)</w:t>
      </w:r>
    </w:p>
    <w:p>
      <w:pPr>
        <w:pStyle w:val="ListBullet"/>
      </w:pPr>
      <w:r>
        <w:t>[Security architecture](#security-architecture)</w:t>
      </w:r>
    </w:p>
    <w:p>
      <w:pPr>
        <w:pStyle w:val="ListBullet"/>
      </w:pPr>
      <w:r>
        <w:t>[Infrastructure and deployment architecture](#infrastructure-and-deployment-architecture)</w:t>
      </w:r>
    </w:p>
    <w:p>
      <w:pPr>
        <w:pStyle w:val="ListBullet"/>
      </w:pPr>
      <w:r>
        <w:t>[Observability and operations](#observability-and-operations)</w:t>
      </w:r>
    </w:p>
    <w:p>
      <w:pPr>
        <w:pStyle w:val="ListBullet"/>
      </w:pPr>
      <w:r>
        <w:t>[Governance and decision records](#governance-and-decision-records)</w:t>
      </w:r>
    </w:p>
    <w:p>
      <w:pPr>
        <w:pStyle w:val="ListBullet"/>
      </w:pPr>
      <w:r>
        <w:t>[Standards and guidance alignment](#standards-and-guidance-alignment)</w:t>
      </w:r>
    </w:p>
    <w:p>
      <w:pPr>
        <w:pStyle w:val="ListBullet"/>
      </w:pPr>
      <w:r>
        <w:t>[Risks and mitigations](#risks-and-mitigations)</w:t>
      </w:r>
    </w:p>
    <w:p>
      <w:pPr>
        <w:pStyle w:val="ListBullet"/>
      </w:pPr>
      <w:r>
        <w:t>[Cost model and financial assumptions](#cost-model-and-financial-assumptions)</w:t>
      </w:r>
    </w:p>
    <w:p>
      <w:pPr>
        <w:pStyle w:val="ListBullet"/>
      </w:pPr>
      <w:r>
        <w:t>[Migration and transition plan](#migration-and-transition-plan)</w:t>
      </w:r>
    </w:p>
    <w:p>
      <w:pPr>
        <w:pStyle w:val="ListBullet"/>
      </w:pPr>
      <w:r>
        <w:t>[Testing and assurance](#testing-and-assurance)</w:t>
      </w:r>
    </w:p>
    <w:p>
      <w:pPr>
        <w:pStyle w:val="ListBullet"/>
      </w:pPr>
      <w:r>
        <w:t>[Appendix](#appendix)</w:t>
      </w:r>
    </w:p>
    <w:p>
      <w:r>
        <w:t xml:space="preserve">  - [Glossary](#glossary)</w:t>
      </w:r>
    </w:p>
    <w:p>
      <w:r>
        <w:t xml:space="preserve">  - [References](#references)</w:t>
      </w:r>
    </w:p>
    <w:p/>
    <w:p>
      <w:bookmarkStart w:id="2" w:name="document-control"/>
      <w:pPr>
        <w:pStyle w:val="Heading2"/>
      </w:pPr>
      <w:r>
        <w:rPr>
          <w:b/>
        </w:rPr>
        <w:t>Document control</w:t>
      </w:r>
      <w:bookmarkEnd w:id="2"/>
    </w:p>
    <w:p/>
    <w:p>
      <w:r>
        <w:t>Guidance:</w:t>
      </w:r>
    </w:p>
    <w:p>
      <w:pPr>
        <w:pStyle w:val="ListBullet"/>
      </w:pPr>
      <w:r>
        <w:t>Keep this accurate and up to date; use named roles rather than individuals if ownership may change.</w:t>
      </w:r>
    </w:p>
    <w:p>
      <w:pPr>
        <w:pStyle w:val="ListBullet"/>
      </w:pPr>
      <w:r>
        <w:t>Update version, status, and date whenever material changes are made.</w:t>
      </w:r>
    </w:p>
    <w:p/>
    <w:p>
      <w:r>
        <w:t>| Item | Value |</w:t>
      </w:r>
    </w:p>
    <w:p>
      <w:r>
        <w:t>| --- | --- |</w:t>
      </w:r>
    </w:p>
    <w:p>
      <w:r>
        <w:t>| Document owner | TBD |</w:t>
      </w:r>
    </w:p>
    <w:p>
      <w:r>
        <w:t>| Author(s) | TBD |</w:t>
      </w:r>
    </w:p>
    <w:p>
      <w:r>
        <w:t>| Reviewers | TBD |</w:t>
      </w:r>
    </w:p>
    <w:p>
      <w:r>
        <w:t>| Version | 0.1 |</w:t>
      </w:r>
    </w:p>
    <w:p>
      <w:r>
        <w:t>| Status | Draft |</w:t>
      </w:r>
    </w:p>
    <w:p>
      <w:r>
        <w:t>| Last updated | TBD |</w:t>
      </w:r>
    </w:p>
    <w:p/>
    <w:p>
      <w:bookmarkStart w:id="3" w:name="purpose-and-scope"/>
      <w:pPr>
        <w:pStyle w:val="Heading2"/>
      </w:pPr>
      <w:r>
        <w:rPr>
          <w:b/>
        </w:rPr>
        <w:t>Purpose and scope</w:t>
      </w:r>
      <w:bookmarkEnd w:id="3"/>
    </w:p>
    <w:p/>
    <w:p>
      <w:r>
        <w:t>Guidance:</w:t>
      </w:r>
    </w:p>
    <w:p>
      <w:pPr>
        <w:pStyle w:val="ListBullet"/>
      </w:pPr>
      <w:r>
        <w:t>State why the document exists and who it is for (technical, security, delivery, governance).</w:t>
      </w:r>
    </w:p>
    <w:p>
      <w:pPr>
        <w:pStyle w:val="ListBullet"/>
      </w:pPr>
      <w:r>
        <w:t>Define what is in scope and explicitly call out what is not.</w:t>
      </w:r>
    </w:p>
    <w:p/>
    <w:p>
      <w:r>
        <w:t>Describe why this document exists and the boundaries of the solution.</w:t>
      </w:r>
    </w:p>
    <w:p/>
    <w:p>
      <w:pPr>
        <w:pStyle w:val="ListBullet"/>
      </w:pPr>
      <w:r>
        <w:t>Purpose: Provide a complete solution architecture for the WebCAF local government service.</w:t>
      </w:r>
    </w:p>
    <w:p>
      <w:pPr>
        <w:pStyle w:val="ListBullet"/>
      </w:pPr>
      <w:r>
        <w:t>In scope: Web application, data flows, integrations, infrastructure, security, operations.</w:t>
      </w:r>
    </w:p>
    <w:p>
      <w:pPr>
        <w:pStyle w:val="ListBullet"/>
      </w:pPr>
      <w:r>
        <w:t>Out of scope: TBD.</w:t>
      </w:r>
    </w:p>
    <w:p/>
    <w:p>
      <w:bookmarkStart w:id="4" w:name="background-and-drivers"/>
      <w:pPr>
        <w:pStyle w:val="Heading2"/>
      </w:pPr>
      <w:r>
        <w:rPr>
          <w:b/>
        </w:rPr>
        <w:t>Background and drivers</w:t>
      </w:r>
      <w:bookmarkEnd w:id="4"/>
    </w:p>
    <w:p/>
    <w:p>
      <w:r>
        <w:t>Guidance:</w:t>
      </w:r>
    </w:p>
    <w:p>
      <w:pPr>
        <w:pStyle w:val="ListBullet"/>
      </w:pPr>
      <w:r>
        <w:t>Explain the problem/opportunity and the policy or statutory drivers.</w:t>
      </w:r>
    </w:p>
    <w:p>
      <w:pPr>
        <w:pStyle w:val="ListBullet"/>
      </w:pPr>
      <w:r>
        <w:t>Capture the high‑level business outcomes expected from this solution.</w:t>
      </w:r>
    </w:p>
    <w:p/>
    <w:p>
      <w:r>
        <w:t>Summarize the problem, policy drivers, and business outcomes.</w:t>
      </w:r>
    </w:p>
    <w:p/>
    <w:p>
      <w:pPr>
        <w:pStyle w:val="ListBullet"/>
      </w:pPr>
      <w:r>
        <w:t>Problem statement: Local government organisations need a secure, consistent and user‑friendly way to complete CAF self‑assessments and manage evidence, replacing ad‑hoc spreadsheets and email‑based processes.</w:t>
      </w:r>
    </w:p>
    <w:p>
      <w:pPr>
        <w:pStyle w:val="ListBullet"/>
      </w:pPr>
      <w:r>
        <w:t>Policy drivers: NCSC CAF for local government; UK GDPR and data protection obligations; GOV.UK Service Manual and Technology Code of Practice; accessibility requirements.</w:t>
      </w:r>
    </w:p>
    <w:p>
      <w:pPr>
        <w:pStyle w:val="ListBullet"/>
      </w:pPr>
      <w:r>
        <w:t>Business outcomes: Higher completion rates, reduced admin effort, more consistent assessment data, faster assurance cycles, and clearer reporting for programme oversight.</w:t>
      </w:r>
    </w:p>
    <w:p/>
    <w:p>
      <w:bookmarkStart w:id="5" w:name="objectives-and-success-criteria"/>
      <w:pPr>
        <w:pStyle w:val="Heading2"/>
      </w:pPr>
      <w:r>
        <w:rPr>
          <w:b/>
        </w:rPr>
        <w:t>Objectives and success criteria</w:t>
      </w:r>
      <w:bookmarkEnd w:id="5"/>
    </w:p>
    <w:p/>
    <w:p>
      <w:r>
        <w:t>Guidance:</w:t>
      </w:r>
    </w:p>
    <w:p>
      <w:pPr>
        <w:pStyle w:val="ListBullet"/>
      </w:pPr>
      <w:r>
        <w:t>Objectives should be measurable and time‑bound where possible.</w:t>
      </w:r>
    </w:p>
    <w:p>
      <w:pPr>
        <w:pStyle w:val="ListBullet"/>
      </w:pPr>
      <w:r>
        <w:t>Success criteria should be verifiable (e.g., % completion, deployment time, performance).</w:t>
      </w:r>
    </w:p>
    <w:p/>
    <w:p>
      <w:r>
        <w:t>Define measurable objectives that indicate the solution is successful.</w:t>
      </w:r>
    </w:p>
    <w:p/>
    <w:p>
      <w:pPr>
        <w:pStyle w:val="ListBullet"/>
      </w:pPr>
      <w:r>
        <w:t>Objective 1: Enable local government users to authenticate and complete CAF self‑assessments end‑to‑end.</w:t>
      </w:r>
    </w:p>
    <w:p>
      <w:pPr>
        <w:pStyle w:val="ListBullet"/>
      </w:pPr>
      <w:r>
        <w:t>Objective 2: Capture structured assessment data for reporting and assurance.</w:t>
      </w:r>
    </w:p>
    <w:p>
      <w:pPr>
        <w:pStyle w:val="ListBullet"/>
      </w:pPr>
      <w:r>
        <w:t>Success criteria:</w:t>
      </w:r>
    </w:p>
    <w:p>
      <w:r>
        <w:t xml:space="preserve">  - At least 80% of pilot users complete a draft assessment without support.</w:t>
      </w:r>
    </w:p>
    <w:p>
      <w:r>
        <w:t xml:space="preserve">  - Assessment data is stored centrally and can be exported for reporting within 24 hours.</w:t>
      </w:r>
    </w:p>
    <w:p>
      <w:r>
        <w:t xml:space="preserve">  - Deployment is repeatable from code (Terraform + container image) in under 1 hour.</w:t>
      </w:r>
    </w:p>
    <w:p/>
    <w:p>
      <w:bookmarkStart w:id="6" w:name="stakeholders-and-users"/>
      <w:pPr>
        <w:pStyle w:val="Heading2"/>
      </w:pPr>
      <w:r>
        <w:rPr>
          <w:b/>
        </w:rPr>
        <w:t>Stakeholders and users</w:t>
      </w:r>
      <w:bookmarkEnd w:id="6"/>
    </w:p>
    <w:p/>
    <w:p>
      <w:r>
        <w:t>Guidance:</w:t>
      </w:r>
    </w:p>
    <w:p>
      <w:pPr>
        <w:pStyle w:val="ListBullet"/>
      </w:pPr>
      <w:r>
        <w:t>List decision makers, delivery team, and user roles.</w:t>
      </w:r>
    </w:p>
    <w:p>
      <w:pPr>
        <w:pStyle w:val="ListBullet"/>
      </w:pPr>
      <w:r>
        <w:t>Include external stakeholders (security, data protection, operations).</w:t>
      </w:r>
    </w:p>
    <w:p/>
    <w:p>
      <w:r>
        <w:t>List stakeholders and primary user groups.</w:t>
      </w:r>
    </w:p>
    <w:p/>
    <w:p>
      <w:pPr>
        <w:pStyle w:val="ListBullet"/>
      </w:pPr>
      <w:r>
        <w:t>Business owner: TBD.</w:t>
      </w:r>
    </w:p>
    <w:p>
      <w:pPr>
        <w:pStyle w:val="ListBullet"/>
      </w:pPr>
      <w:r>
        <w:t>Product owner: TBD.</w:t>
      </w:r>
    </w:p>
    <w:p>
      <w:pPr>
        <w:pStyle w:val="ListBullet"/>
      </w:pPr>
      <w:r>
        <w:t>Delivery team: TBD.</w:t>
      </w:r>
    </w:p>
    <w:p>
      <w:pPr>
        <w:pStyle w:val="ListBullet"/>
      </w:pPr>
      <w:r>
        <w:t>User personas: TBD.</w:t>
      </w:r>
    </w:p>
    <w:p/>
    <w:p>
      <w:bookmarkStart w:id="7" w:name="assumptions-constraints-and-dependencies"/>
      <w:pPr>
        <w:pStyle w:val="Heading2"/>
      </w:pPr>
      <w:r>
        <w:rPr>
          <w:b/>
        </w:rPr>
        <w:t>Assumptions, constraints, and dependencies</w:t>
      </w:r>
      <w:bookmarkEnd w:id="7"/>
    </w:p>
    <w:p/>
    <w:p>
      <w:r>
        <w:t>Guidance:</w:t>
      </w:r>
    </w:p>
    <w:p>
      <w:pPr>
        <w:pStyle w:val="ListBullet"/>
      </w:pPr>
      <w:r>
        <w:t>Assumptions: things believed true for planning (and to be validated).</w:t>
      </w:r>
    </w:p>
    <w:p>
      <w:pPr>
        <w:pStyle w:val="ListBullet"/>
      </w:pPr>
      <w:r>
        <w:t>Constraints: non‑negotiable limits (budget, time, region, policy).</w:t>
      </w:r>
    </w:p>
    <w:p>
      <w:pPr>
        <w:pStyle w:val="ListBullet"/>
      </w:pPr>
      <w:r>
        <w:t>Dependencies: services or teams required for delivery.</w:t>
      </w:r>
    </w:p>
    <w:p/>
    <w:p>
      <w:r>
        <w:t>Capture key assumptions and constraints that shape the design.</w:t>
      </w:r>
    </w:p>
    <w:p/>
    <w:p>
      <w:pPr>
        <w:pStyle w:val="ListBullet"/>
      </w:pPr>
      <w:r>
        <w:t>Assumptions:</w:t>
      </w:r>
    </w:p>
    <w:p>
      <w:r>
        <w:t xml:space="preserve">  - Hosting will be in Azure UK regions.</w:t>
      </w:r>
    </w:p>
    <w:p>
      <w:r>
        <w:t xml:space="preserve">  - The solution remains a single web application for the POC.</w:t>
      </w:r>
    </w:p>
    <w:p>
      <w:r>
        <w:t xml:space="preserve">  - Users have access to GOV.UK One Login (or a suitable OIDC provider in sandbox).</w:t>
      </w:r>
    </w:p>
    <w:p>
      <w:pPr>
        <w:pStyle w:val="ListBullet"/>
      </w:pPr>
      <w:r>
        <w:t>Constraints:</w:t>
      </w:r>
    </w:p>
    <w:p>
      <w:r>
        <w:t xml:space="preserve">  - POC budget and timeline limit deep optimisation and multi‑region DR.</w:t>
      </w:r>
    </w:p>
    <w:p>
      <w:r>
        <w:t xml:space="preserve">  - Data residency must remain within the UK.</w:t>
      </w:r>
    </w:p>
    <w:p>
      <w:r>
        <w:t xml:space="preserve">  - Security accreditation is out of scope for the POC.</w:t>
      </w:r>
    </w:p>
    <w:p>
      <w:pPr>
        <w:pStyle w:val="ListBullet"/>
      </w:pPr>
      <w:r>
        <w:t>Dependencies:</w:t>
      </w:r>
    </w:p>
    <w:p>
      <w:r>
        <w:t xml:space="preserve">  - GOV.UK One Login (OIDC) for authentication.</w:t>
      </w:r>
    </w:p>
    <w:p>
      <w:r>
        <w:t xml:space="preserve">  - GOV.UK Notify (optional) for emails.</w:t>
      </w:r>
    </w:p>
    <w:p>
      <w:r>
        <w:t xml:space="preserve">  - Azure managed services: Container Apps, PostgreSQL Flexible Server, Key Vault, ACR, Log Analytics.</w:t>
      </w:r>
    </w:p>
    <w:p/>
    <w:p>
      <w:bookmarkStart w:id="8" w:name="requirements"/>
      <w:pPr>
        <w:pStyle w:val="Heading2"/>
      </w:pPr>
      <w:r>
        <w:rPr>
          <w:b/>
        </w:rPr>
        <w:t>Requirements</w:t>
      </w:r>
      <w:bookmarkEnd w:id="8"/>
    </w:p>
    <w:p/>
    <w:p>
      <w:r>
        <w:t>Guidance:</w:t>
      </w:r>
    </w:p>
    <w:p>
      <w:pPr>
        <w:pStyle w:val="ListBullet"/>
      </w:pPr>
      <w:r>
        <w:t>Separate functional and non‑functional requirements.</w:t>
      </w:r>
    </w:p>
    <w:p>
      <w:pPr>
        <w:pStyle w:val="ListBullet"/>
      </w:pPr>
      <w:r>
        <w:t>Number requirements for traceability (FR‑01, NFR‑01, etc.).</w:t>
      </w:r>
    </w:p>
    <w:p/>
    <w:p>
      <w:bookmarkStart w:id="9" w:name="functional-requirements"/>
      <w:pPr>
        <w:pStyle w:val="Heading3"/>
      </w:pPr>
      <w:r>
        <w:rPr>
          <w:b/>
        </w:rPr>
        <w:t>Functional requirements</w:t>
      </w:r>
      <w:bookmarkEnd w:id="9"/>
    </w:p>
    <w:p/>
    <w:p>
      <w:r>
        <w:t>Guidance:</w:t>
      </w:r>
    </w:p>
    <w:p>
      <w:pPr>
        <w:pStyle w:val="ListBullet"/>
      </w:pPr>
      <w:r>
        <w:t>Describe user‑facing capabilities and core workflows.</w:t>
      </w:r>
    </w:p>
    <w:p>
      <w:pPr>
        <w:pStyle w:val="ListBullet"/>
      </w:pPr>
      <w:r>
        <w:t>Focus on “must have” POC requirements first.</w:t>
      </w:r>
    </w:p>
    <w:p/>
    <w:p>
      <w:pPr>
        <w:pStyle w:val="ListBullet"/>
      </w:pPr>
      <w:r>
        <w:t>FR-01: TBD.</w:t>
      </w:r>
    </w:p>
    <w:p>
      <w:pPr>
        <w:pStyle w:val="ListBullet"/>
      </w:pPr>
      <w:r>
        <w:t>FR-02: TBD.</w:t>
      </w:r>
    </w:p>
    <w:p/>
    <w:p>
      <w:bookmarkStart w:id="10" w:name="nonfunctional-requirements"/>
      <w:pPr>
        <w:pStyle w:val="Heading3"/>
      </w:pPr>
      <w:r>
        <w:rPr>
          <w:b/>
        </w:rPr>
        <w:t>Non‑functional requirements</w:t>
      </w:r>
      <w:bookmarkEnd w:id="10"/>
    </w:p>
    <w:p/>
    <w:p>
      <w:r>
        <w:t>Guidance:</w:t>
      </w:r>
    </w:p>
    <w:p>
      <w:pPr>
        <w:pStyle w:val="ListBullet"/>
      </w:pPr>
      <w:r>
        <w:t>Include targets for availability, performance, security, privacy, accessibility, and compliance.</w:t>
      </w:r>
    </w:p>
    <w:p>
      <w:pPr>
        <w:pStyle w:val="ListBullet"/>
      </w:pPr>
      <w:r>
        <w:t>Note which NFRs are POC‑level vs production‑level.</w:t>
      </w:r>
    </w:p>
    <w:p/>
    <w:p>
      <w:r>
        <w:t>List NFRs with measurable targets.</w:t>
      </w:r>
    </w:p>
    <w:p/>
    <w:p>
      <w:pPr>
        <w:pStyle w:val="ListBullet"/>
      </w:pPr>
      <w:r>
        <w:t>Availability: TBD.</w:t>
      </w:r>
    </w:p>
    <w:p>
      <w:pPr>
        <w:pStyle w:val="ListBullet"/>
      </w:pPr>
      <w:r>
        <w:t>Performance: TBD.</w:t>
      </w:r>
    </w:p>
    <w:p>
      <w:pPr>
        <w:pStyle w:val="ListBullet"/>
      </w:pPr>
      <w:r>
        <w:t>Scalability: TBD.</w:t>
      </w:r>
    </w:p>
    <w:p>
      <w:pPr>
        <w:pStyle w:val="ListBullet"/>
      </w:pPr>
      <w:r>
        <w:t>Security: TBD.</w:t>
      </w:r>
    </w:p>
    <w:p>
      <w:pPr>
        <w:pStyle w:val="ListBullet"/>
      </w:pPr>
      <w:r>
        <w:t>Privacy: TBD.</w:t>
      </w:r>
    </w:p>
    <w:p>
      <w:pPr>
        <w:pStyle w:val="ListBullet"/>
      </w:pPr>
      <w:r>
        <w:t>Accessibility: TBD (eg WCAG 2.2 AA).</w:t>
      </w:r>
    </w:p>
    <w:p>
      <w:pPr>
        <w:pStyle w:val="ListBullet"/>
      </w:pPr>
      <w:r>
        <w:t>Compliance: TBD.</w:t>
      </w:r>
    </w:p>
    <w:p/>
    <w:p>
      <w:bookmarkStart w:id="11" w:name="architecture-overview"/>
      <w:pPr>
        <w:pStyle w:val="Heading2"/>
      </w:pPr>
      <w:r>
        <w:rPr>
          <w:b/>
        </w:rPr>
        <w:t>Architecture overview</w:t>
      </w:r>
      <w:bookmarkEnd w:id="11"/>
    </w:p>
    <w:p/>
    <w:p>
      <w:r>
        <w:t>Guidance:</w:t>
      </w:r>
    </w:p>
    <w:p>
      <w:pPr>
        <w:pStyle w:val="ListBullet"/>
      </w:pPr>
      <w:r>
        <w:t>Provide a concise summary of the target architecture and key decisions.</w:t>
      </w:r>
    </w:p>
    <w:p>
      <w:pPr>
        <w:pStyle w:val="ListBullet"/>
      </w:pPr>
      <w:r>
        <w:t>Note why the chosen approach fits the constraints and objectives.</w:t>
      </w:r>
    </w:p>
    <w:p/>
    <w:p>
      <w:r>
        <w:t>Provide a short summary of the target architecture and key design choices.</w:t>
      </w:r>
    </w:p>
    <w:p/>
    <w:p>
      <w:pPr>
        <w:pStyle w:val="ListBullet"/>
      </w:pPr>
      <w:r>
        <w:t>Summary: TBD.</w:t>
      </w:r>
    </w:p>
    <w:p>
      <w:pPr>
        <w:pStyle w:val="ListBullet"/>
      </w:pPr>
      <w:r>
        <w:t>Key decisions: TBD.</w:t>
      </w:r>
    </w:p>
    <w:p/>
    <w:p>
      <w:bookmarkStart w:id="12" w:name="architecture-views-c4-recommended"/>
      <w:pPr>
        <w:pStyle w:val="Heading3"/>
      </w:pPr>
      <w:r>
        <w:rPr>
          <w:b/>
        </w:rPr>
        <w:t>Architecture views (C4 recommended)</w:t>
      </w:r>
      <w:bookmarkEnd w:id="12"/>
    </w:p>
    <w:p/>
    <w:p>
      <w:r>
        <w:t>Guidance:</w:t>
      </w:r>
    </w:p>
    <w:p>
      <w:pPr>
        <w:pStyle w:val="ListBullet"/>
      </w:pPr>
      <w:r>
        <w:t>Explain what each C4 level shows and reference the diagram names/locations.</w:t>
      </w:r>
    </w:p>
    <w:p>
      <w:pPr>
        <w:pStyle w:val="ListBullet"/>
      </w:pPr>
      <w:r>
        <w:t>Ensure diagrams are current and match the narrative.</w:t>
      </w:r>
    </w:p>
    <w:p/>
    <w:p>
      <w:pPr>
        <w:pStyle w:val="ListBullet"/>
      </w:pPr>
      <w:r>
        <w:t>C4 overview: We use the C4 model to describe the system at four levels of detail so stakeholders can understand purpose, structure, and deployment. Each level answers a different question and links to the diagrams in `docs/architecture.drawio`.</w:t>
      </w:r>
    </w:p>
    <w:p>
      <w:pPr>
        <w:pStyle w:val="ListBullet"/>
      </w:pPr>
      <w:r>
        <w:t>Context (C4 L1): Shows the system boundary, user roles, and external systems (e.g., OIDC, Notify). Diagram: **C4-Context**.</w:t>
      </w:r>
    </w:p>
    <w:p>
      <w:pPr>
        <w:pStyle w:val="ListBullet"/>
      </w:pPr>
      <w:r>
        <w:t>Container (C4 L2): Shows the major runtime containers (web app, database, PDF generation) and their interactions. Diagram: **C4-Container**.</w:t>
      </w:r>
    </w:p>
    <w:p>
      <w:pPr>
        <w:pStyle w:val="ListBullet"/>
      </w:pPr>
      <w:r>
        <w:t>Component (C4 L3): Breaks down the web application into logical modules (auth, workflow, framework parser, forms, reporting, persistence). Diagram: **C4-Component**.</w:t>
      </w:r>
    </w:p>
    <w:p>
      <w:pPr>
        <w:pStyle w:val="ListBullet"/>
      </w:pPr>
      <w:r>
        <w:t>Deployment (C4 L4): Shows the runtime infrastructure and cloud services (Container Apps, Key Vault, PostgreSQL, ACR, Log Analytics). Diagram: **C4-Deployment**.</w:t>
      </w:r>
    </w:p>
    <w:p/>
    <w:p>
      <w:r>
        <w:t>#### Diagram component list (what each box represents)</w:t>
      </w:r>
    </w:p>
    <w:p/>
    <w:p>
      <w:r>
        <w:t>**C4-Context**</w:t>
      </w:r>
    </w:p>
    <w:p>
      <w:pPr>
        <w:pStyle w:val="ListBullet"/>
      </w:pPr>
      <w:r>
        <w:t>Local Gov Assessor: primary end user completing assessments.</w:t>
      </w:r>
    </w:p>
    <w:p>
      <w:pPr>
        <w:pStyle w:val="ListBullet"/>
      </w:pPr>
      <w:r>
        <w:t>Service Owner / Admin: manages organisations, systems, profiles, and configuration.</w:t>
      </w:r>
    </w:p>
    <w:p>
      <w:pPr>
        <w:pStyle w:val="ListBullet"/>
      </w:pPr>
      <w:r>
        <w:t>WebCAF Local Government Service: the POC web application.</w:t>
      </w:r>
    </w:p>
    <w:p>
      <w:pPr>
        <w:pStyle w:val="ListBullet"/>
      </w:pPr>
      <w:r>
        <w:t>External IdP (OIDC): GOV.UK One Login or equivalent OIDC provider.</w:t>
      </w:r>
    </w:p>
    <w:p>
      <w:pPr>
        <w:pStyle w:val="ListBullet"/>
      </w:pPr>
      <w:r>
        <w:t>GOV.UK Notify: optional email delivery service.</w:t>
      </w:r>
    </w:p>
    <w:p>
      <w:pPr>
        <w:pStyle w:val="ListBullet"/>
      </w:pPr>
      <w:r>
        <w:t>Reporting/Analytics: optional downstream reporting tools (e.g., Power BI).</w:t>
      </w:r>
    </w:p>
    <w:p>
      <w:r>
        <w:t>&lt;img width="1073" height="395" alt="image" src="</w:t>
      </w:r>
      <w:hyperlink r:id="rId9">
        <w:r>
          <w:rPr>
            <w:u w:val="single"/>
            <w:color w:val="0000FF"/>
          </w:rPr>
          <w:t>https://github.com/user-attachments/assets/358a2279-f77b-4189-b7bd-377c83c5a44a"</w:t>
        </w:r>
      </w:hyperlink>
      <w:r>
        <w:t xml:space="preserve"> /&gt;</w:t>
      </w:r>
    </w:p>
    <w:p/>
    <w:p>
      <w:r>
        <w:t>**C4-Container**</w:t>
      </w:r>
    </w:p>
    <w:p>
      <w:pPr>
        <w:pStyle w:val="ListBullet"/>
      </w:pPr>
      <w:r>
        <w:t>User (Browser): web client for assessors/admins.</w:t>
      </w:r>
    </w:p>
    <w:p>
      <w:pPr>
        <w:pStyle w:val="ListBullet"/>
      </w:pPr>
      <w:r>
        <w:t>Web App Container: Django + GOV.UK Frontend serving UI and APIs.</w:t>
      </w:r>
    </w:p>
    <w:p>
      <w:pPr>
        <w:pStyle w:val="ListBullet"/>
      </w:pPr>
      <w:r>
        <w:t>PDF Generation: WeasyPrint used in-process for report export.</w:t>
      </w:r>
    </w:p>
    <w:p>
      <w:pPr>
        <w:pStyle w:val="ListBullet"/>
      </w:pPr>
      <w:r>
        <w:t>Relational DB: PostgreSQL used for core assessment data.</w:t>
      </w:r>
    </w:p>
    <w:p>
      <w:pPr>
        <w:pStyle w:val="ListBullet"/>
      </w:pPr>
      <w:r>
        <w:t>OIDC Provider: external identity provider.</w:t>
      </w:r>
    </w:p>
    <w:p>
      <w:pPr>
        <w:pStyle w:val="ListBullet"/>
      </w:pPr>
      <w:r>
        <w:t>GOV.UK Notify: optional email integration.</w:t>
      </w:r>
    </w:p>
    <w:p>
      <w:r>
        <w:t>&lt;img width="1041" height="397" alt="image" src="</w:t>
      </w:r>
      <w:hyperlink r:id="rId10">
        <w:r>
          <w:rPr>
            <w:u w:val="single"/>
            <w:color w:val="0000FF"/>
          </w:rPr>
          <w:t>https://github.com/user-attachments/assets/a6685e9c-e09f-4be9-b506-3196a7534808"</w:t>
        </w:r>
      </w:hyperlink>
      <w:r>
        <w:t xml:space="preserve"> /&gt;</w:t>
      </w:r>
    </w:p>
    <w:p/>
    <w:p>
      <w:r>
        <w:t>**C4-Component**</w:t>
      </w:r>
    </w:p>
    <w:p>
      <w:pPr>
        <w:pStyle w:val="ListBullet"/>
      </w:pPr>
      <w:r>
        <w:t>Auth/SSO: OIDC login and local profile mapping.</w:t>
      </w:r>
    </w:p>
    <w:p>
      <w:pPr>
        <w:pStyle w:val="ListBullet"/>
      </w:pPr>
      <w:r>
        <w:t>Assessment Workflow: draft creation, section routing, completion status.</w:t>
      </w:r>
    </w:p>
    <w:p>
      <w:pPr>
        <w:pStyle w:val="ListBullet"/>
      </w:pPr>
      <w:r>
        <w:t>Framework Parser: CAF/CE YAML loading and interpretation.</w:t>
      </w:r>
    </w:p>
    <w:p>
      <w:pPr>
        <w:pStyle w:val="ListBullet"/>
      </w:pPr>
      <w:r>
        <w:t>Form Factory + Validation: dynamic form generation per framework.</w:t>
      </w:r>
    </w:p>
    <w:p>
      <w:pPr>
        <w:pStyle w:val="ListBullet"/>
      </w:pPr>
      <w:r>
        <w:t>Reporting/PDF Generation: export and rendering logic.</w:t>
      </w:r>
    </w:p>
    <w:p>
      <w:pPr>
        <w:pStyle w:val="ListBullet"/>
      </w:pPr>
      <w:r>
        <w:t>Admin Views/Config: admin UI and configuration management.</w:t>
      </w:r>
    </w:p>
    <w:p>
      <w:pPr>
        <w:pStyle w:val="ListBullet"/>
      </w:pPr>
      <w:r>
        <w:t>Persistence (Django ORM): database models and data access.</w:t>
      </w:r>
    </w:p>
    <w:p>
      <w:r>
        <w:t>&lt;img width="907" height="577" alt="image" src="</w:t>
      </w:r>
      <w:hyperlink r:id="rId11">
        <w:r>
          <w:rPr>
            <w:u w:val="single"/>
            <w:color w:val="0000FF"/>
          </w:rPr>
          <w:t>https://github.com/user-attachments/assets/0cf6ac3b-c062-42ff-90bf-ebf024cab247"</w:t>
        </w:r>
      </w:hyperlink>
      <w:r>
        <w:t xml:space="preserve"> /&gt;</w:t>
      </w:r>
    </w:p>
    <w:p/>
    <w:p>
      <w:r>
        <w:t>**C4-Deployment (Azure)**</w:t>
      </w:r>
    </w:p>
    <w:p>
      <w:pPr>
        <w:pStyle w:val="ListBullet"/>
      </w:pPr>
      <w:r>
        <w:t>End Users: browser clients.</w:t>
      </w:r>
    </w:p>
    <w:p>
      <w:pPr>
        <w:pStyle w:val="ListBullet"/>
      </w:pPr>
      <w:r>
        <w:t>Azure Container Apps: hosts the WebCAF container.</w:t>
      </w:r>
    </w:p>
    <w:p>
      <w:pPr>
        <w:pStyle w:val="ListBullet"/>
      </w:pPr>
      <w:r>
        <w:t>Azure Database for PostgreSQL: primary datastore.</w:t>
      </w:r>
    </w:p>
    <w:p>
      <w:pPr>
        <w:pStyle w:val="ListBullet"/>
      </w:pPr>
      <w:r>
        <w:t>Azure Key Vault: secrets for DB and OIDC.</w:t>
      </w:r>
    </w:p>
    <w:p>
      <w:pPr>
        <w:pStyle w:val="ListBullet"/>
      </w:pPr>
      <w:r>
        <w:t>Azure Container Registry: image storage.</w:t>
      </w:r>
    </w:p>
    <w:p>
      <w:pPr>
        <w:pStyle w:val="ListBullet"/>
      </w:pPr>
      <w:r>
        <w:t>Log Analytics: logging and monitoring.</w:t>
      </w:r>
    </w:p>
    <w:p>
      <w:pPr>
        <w:pStyle w:val="ListBullet"/>
      </w:pPr>
      <w:r>
        <w:t>Build/Push: CI or ACR build step.</w:t>
      </w:r>
    </w:p>
    <w:p>
      <w:r>
        <w:t>&lt;img width="1029" height="742" alt="image" src="</w:t>
      </w:r>
      <w:hyperlink r:id="rId12">
        <w:r>
          <w:rPr>
            <w:u w:val="single"/>
            <w:color w:val="0000FF"/>
          </w:rPr>
          <w:t>https://github.com/user-attachments/assets/bf0c2601-182a-48c4-acfd-e1daf6570301"</w:t>
        </w:r>
      </w:hyperlink>
      <w:r>
        <w:t xml:space="preserve"> /&gt;</w:t>
      </w:r>
    </w:p>
    <w:p/>
    <w:p>
      <w:r>
        <w:t>**AWS-Deployment (Legacy)**</w:t>
      </w:r>
    </w:p>
    <w:p>
      <w:pPr>
        <w:pStyle w:val="ListBullet"/>
      </w:pPr>
      <w:r>
        <w:t>AWS ALB: public ingress/load balancer.</w:t>
      </w:r>
    </w:p>
    <w:p>
      <w:pPr>
        <w:pStyle w:val="ListBullet"/>
      </w:pPr>
      <w:r>
        <w:t>ECS/Fargate Service: runs the WebCAF container.</w:t>
      </w:r>
    </w:p>
    <w:p>
      <w:pPr>
        <w:pStyle w:val="ListBullet"/>
      </w:pPr>
      <w:r>
        <w:t>Amazon RDS (PostgreSQL): primary datastore (via RDS_* env vars).</w:t>
      </w:r>
    </w:p>
    <w:p>
      <w:pPr>
        <w:pStyle w:val="ListBullet"/>
      </w:pPr>
      <w:r>
        <w:t>Secrets Manager/SSM: DB credentials and app secrets.</w:t>
      </w:r>
    </w:p>
    <w:p>
      <w:pPr>
        <w:pStyle w:val="ListBullet"/>
      </w:pPr>
      <w:r>
        <w:t>Amazon ECR: image registry.</w:t>
      </w:r>
    </w:p>
    <w:p>
      <w:pPr>
        <w:pStyle w:val="ListBullet"/>
      </w:pPr>
      <w:r>
        <w:t>GitHub Actions (OIDC): CI/CD and federation to AWS IAM.</w:t>
      </w:r>
    </w:p>
    <w:p>
      <w:pPr>
        <w:pStyle w:val="ListBullet"/>
      </w:pPr>
      <w:r>
        <w:t>CloudWatch Logs: application and container logs.</w:t>
      </w:r>
    </w:p>
    <w:p>
      <w:r>
        <w:t>&lt;img width="1085" height="745" alt="image" src="</w:t>
      </w:r>
      <w:hyperlink r:id="rId13">
        <w:r>
          <w:rPr>
            <w:u w:val="single"/>
            <w:color w:val="0000FF"/>
          </w:rPr>
          <w:t>https://github.com/user-attachments/assets/85e1772d-a663-4bbd-95f0-422a10ed7889"</w:t>
        </w:r>
      </w:hyperlink>
      <w:r>
        <w:t xml:space="preserve"> /&gt;</w:t>
      </w:r>
    </w:p>
    <w:p/>
    <w:p>
      <w:bookmarkStart w:id="13" w:name="application-and-service-architecture"/>
      <w:pPr>
        <w:pStyle w:val="Heading2"/>
      </w:pPr>
      <w:r>
        <w:rPr>
          <w:b/>
        </w:rPr>
        <w:t>Application and service architecture</w:t>
      </w:r>
      <w:bookmarkEnd w:id="13"/>
    </w:p>
    <w:p/>
    <w:p>
      <w:r>
        <w:t>Guidance:</w:t>
      </w:r>
    </w:p>
    <w:p>
      <w:pPr>
        <w:pStyle w:val="ListBullet"/>
      </w:pPr>
      <w:r>
        <w:t>Describe the app structure, domain boundaries, and key services/modules.</w:t>
      </w:r>
    </w:p>
    <w:p>
      <w:pPr>
        <w:pStyle w:val="ListBullet"/>
      </w:pPr>
      <w:r>
        <w:t>Note any background tasks or scheduled jobs.</w:t>
      </w:r>
    </w:p>
    <w:p/>
    <w:p>
      <w:r>
        <w:t>Describe application structure, domains, and service boundaries.</w:t>
      </w:r>
    </w:p>
    <w:p/>
    <w:p>
      <w:pPr>
        <w:pStyle w:val="ListBullet"/>
      </w:pPr>
      <w:r>
        <w:t>Core services: TBD.</w:t>
      </w:r>
    </w:p>
    <w:p>
      <w:pPr>
        <w:pStyle w:val="ListBullet"/>
      </w:pPr>
      <w:r>
        <w:t>Modules and responsibilities: TBD.</w:t>
      </w:r>
    </w:p>
    <w:p>
      <w:pPr>
        <w:pStyle w:val="ListBullet"/>
      </w:pPr>
      <w:r>
        <w:t>Background jobs and schedulers: TBD.</w:t>
      </w:r>
    </w:p>
    <w:p/>
    <w:p>
      <w:bookmarkStart w:id="14" w:name="data-architecture"/>
      <w:pPr>
        <w:pStyle w:val="Heading2"/>
      </w:pPr>
      <w:r>
        <w:rPr>
          <w:b/>
        </w:rPr>
        <w:t>Data architecture</w:t>
      </w:r>
      <w:bookmarkEnd w:id="14"/>
    </w:p>
    <w:p/>
    <w:p>
      <w:r>
        <w:t>Guidance:</w:t>
      </w:r>
    </w:p>
    <w:p>
      <w:pPr>
        <w:pStyle w:val="ListBullet"/>
      </w:pPr>
      <w:r>
        <w:t>Describe data domains, storage locations, and key tables/fields.</w:t>
      </w:r>
    </w:p>
    <w:p>
      <w:pPr>
        <w:pStyle w:val="ListBullet"/>
      </w:pPr>
      <w:r>
        <w:t>Include data classification and retention expectations.</w:t>
      </w:r>
    </w:p>
    <w:p/>
    <w:p>
      <w:r>
        <w:t>Describe data sources, stores, and flows.</w:t>
      </w:r>
    </w:p>
    <w:p/>
    <w:p>
      <w:pPr>
        <w:pStyle w:val="ListBullet"/>
      </w:pPr>
      <w:r>
        <w:t>Data domains:</w:t>
      </w:r>
    </w:p>
    <w:p>
      <w:r>
        <w:t xml:space="preserve">  - Organisations (name, type, contacts)</w:t>
      </w:r>
    </w:p>
    <w:p>
      <w:r>
        <w:t xml:space="preserve">  - Systems (type, hosting, ownership, corporate services)</w:t>
      </w:r>
    </w:p>
    <w:p>
      <w:r>
        <w:t xml:space="preserve">  - User profiles (user ↔ organisation role)</w:t>
      </w:r>
    </w:p>
    <w:p>
      <w:r>
        <w:t xml:space="preserve">  - Assessments (status, framework, profile, period, review type)</w:t>
      </w:r>
    </w:p>
    <w:p>
      <w:r>
        <w:t xml:space="preserve">  - Assessment answers (JSON in `assessments_data`)</w:t>
      </w:r>
    </w:p>
    <w:p>
      <w:r>
        <w:t xml:space="preserve">  - Configuration (assessment period and defaults)</w:t>
      </w:r>
    </w:p>
    <w:p>
      <w:r>
        <w:t xml:space="preserve">  - Audit/history (via `simple_history`)</w:t>
      </w:r>
    </w:p>
    <w:p>
      <w:pPr>
        <w:pStyle w:val="ListBullet"/>
      </w:pPr>
      <w:r>
        <w:t>Data stores:</w:t>
      </w:r>
    </w:p>
    <w:p>
      <w:r>
        <w:t xml:space="preserve">  - PostgreSQL Flexible Server (primary relational store)</w:t>
      </w:r>
    </w:p>
    <w:p>
      <w:r>
        <w:t xml:space="preserve">  - JSON field `webcaf_assessment.assessments_data` for all answers</w:t>
      </w:r>
    </w:p>
    <w:p>
      <w:pPr>
        <w:pStyle w:val="ListBullet"/>
      </w:pPr>
      <w:r>
        <w:t>Data flows:</w:t>
      </w:r>
    </w:p>
    <w:p>
      <w:r>
        <w:t xml:space="preserve">  - User/admin inputs → Web app → PostgreSQL</w:t>
      </w:r>
    </w:p>
    <w:p>
      <w:r>
        <w:t xml:space="preserve">  - Report generation reads `assessments_data` → PDF output</w:t>
      </w:r>
    </w:p>
    <w:p>
      <w:r>
        <w:t xml:space="preserve">  - Optional exports for reporting (e.g., Power BI) from PostgreSQL</w:t>
      </w:r>
    </w:p>
    <w:p>
      <w:pPr>
        <w:pStyle w:val="ListBullet"/>
      </w:pPr>
      <w:r>
        <w:t>Data classification:</w:t>
      </w:r>
    </w:p>
    <w:p>
      <w:r>
        <w:t xml:space="preserve">  - Likely OFFICIAL, includes personal data (contact details, user accounts) and system information.</w:t>
      </w:r>
    </w:p>
    <w:p>
      <w:pPr>
        <w:pStyle w:val="ListBullet"/>
      </w:pPr>
      <w:r>
        <w:t>Retention and deletion:</w:t>
      </w:r>
    </w:p>
    <w:p>
      <w:r>
        <w:t xml:space="preserve">  - POC retains data indefinitely in PostgreSQL; no automated retention.</w:t>
      </w:r>
    </w:p>
    <w:p>
      <w:r>
        <w:t xml:space="preserve">  - Production policy to define retention, archival, and deletion schedules aligned to UK GDPR.</w:t>
      </w:r>
    </w:p>
    <w:p>
      <w:r>
        <w:t xml:space="preserve">  - See `docs/assessment-data-postgres.md` for table details.</w:t>
      </w:r>
    </w:p>
    <w:p/>
    <w:p>
      <w:bookmarkStart w:id="15" w:name="integration-architecture"/>
      <w:pPr>
        <w:pStyle w:val="Heading2"/>
      </w:pPr>
      <w:r>
        <w:rPr>
          <w:b/>
        </w:rPr>
        <w:t>Integration architecture</w:t>
      </w:r>
      <w:bookmarkEnd w:id="15"/>
    </w:p>
    <w:p/>
    <w:p>
      <w:r>
        <w:t>Guidance:</w:t>
      </w:r>
    </w:p>
    <w:p>
      <w:pPr>
        <w:pStyle w:val="ListBullet"/>
      </w:pPr>
      <w:r>
        <w:t>List external systems and the protocols used (OIDC, REST, etc.).</w:t>
      </w:r>
    </w:p>
    <w:p>
      <w:pPr>
        <w:pStyle w:val="ListBullet"/>
      </w:pPr>
      <w:r>
        <w:t>Document error handling, retries, and timeouts.</w:t>
      </w:r>
    </w:p>
    <w:p/>
    <w:p>
      <w:r>
        <w:t>List external systems and integration patterns.</w:t>
      </w:r>
    </w:p>
    <w:p/>
    <w:p>
      <w:pPr>
        <w:pStyle w:val="ListBullet"/>
      </w:pPr>
      <w:r>
        <w:t>External systems: TBD.</w:t>
      </w:r>
    </w:p>
    <w:p>
      <w:pPr>
        <w:pStyle w:val="ListBullet"/>
      </w:pPr>
      <w:r>
        <w:t>APIs and protocols: TBD.</w:t>
      </w:r>
    </w:p>
    <w:p>
      <w:pPr>
        <w:pStyle w:val="ListBullet"/>
      </w:pPr>
      <w:r>
        <w:t>Error handling and retries: TBD.</w:t>
      </w:r>
    </w:p>
    <w:p/>
    <w:p>
      <w:bookmarkStart w:id="16" w:name="security-architecture"/>
      <w:pPr>
        <w:pStyle w:val="Heading2"/>
      </w:pPr>
      <w:r>
        <w:rPr>
          <w:b/>
        </w:rPr>
        <w:t>Security architecture</w:t>
      </w:r>
      <w:bookmarkEnd w:id="16"/>
    </w:p>
    <w:p/>
    <w:p>
      <w:r>
        <w:t>Guidance:</w:t>
      </w:r>
    </w:p>
    <w:p>
      <w:pPr>
        <w:pStyle w:val="ListBullet"/>
      </w:pPr>
      <w:r>
        <w:t>Cover identity, access control, secrets management, encryption, and audit logging.</w:t>
      </w:r>
    </w:p>
    <w:p>
      <w:pPr>
        <w:pStyle w:val="ListBullet"/>
      </w:pPr>
      <w:r>
        <w:t>Summarise key threats and mitigations appropriate for this stage.</w:t>
      </w:r>
    </w:p>
    <w:p/>
    <w:p>
      <w:r>
        <w:t>Describe identity, access, and security controls.</w:t>
      </w:r>
    </w:p>
    <w:p/>
    <w:p>
      <w:pPr>
        <w:pStyle w:val="ListBullet"/>
      </w:pPr>
      <w:r>
        <w:t>Authentication and authorization: TBD.</w:t>
      </w:r>
    </w:p>
    <w:p>
      <w:pPr>
        <w:pStyle w:val="ListBullet"/>
      </w:pPr>
      <w:r>
        <w:t>Secrets management: TBD.</w:t>
      </w:r>
    </w:p>
    <w:p>
      <w:pPr>
        <w:pStyle w:val="ListBullet"/>
      </w:pPr>
      <w:r>
        <w:t>Encryption in transit and at rest: TBD.</w:t>
      </w:r>
    </w:p>
    <w:p>
      <w:pPr>
        <w:pStyle w:val="ListBullet"/>
      </w:pPr>
      <w:r>
        <w:t>Audit logging: TBD.</w:t>
      </w:r>
    </w:p>
    <w:p>
      <w:pPr>
        <w:pStyle w:val="ListBullet"/>
      </w:pPr>
      <w:r>
        <w:t>Threat model summary: TBD.</w:t>
      </w:r>
    </w:p>
    <w:p/>
    <w:p>
      <w:bookmarkStart w:id="17" w:name="infrastructure-and-deployment-architecture"/>
      <w:pPr>
        <w:pStyle w:val="Heading2"/>
      </w:pPr>
      <w:r>
        <w:rPr>
          <w:b/>
        </w:rPr>
        <w:t>Infrastructure and deployment architecture</w:t>
      </w:r>
      <w:bookmarkEnd w:id="17"/>
    </w:p>
    <w:p/>
    <w:p>
      <w:r>
        <w:t>Guidance:</w:t>
      </w:r>
    </w:p>
    <w:p>
      <w:pPr>
        <w:pStyle w:val="ListBullet"/>
      </w:pPr>
      <w:r>
        <w:t>Describe environments, hosting model, CI/CD, and network topology.</w:t>
      </w:r>
    </w:p>
    <w:p>
      <w:pPr>
        <w:pStyle w:val="ListBullet"/>
      </w:pPr>
      <w:r>
        <w:t>Call out differences between POC and production.</w:t>
      </w:r>
    </w:p>
    <w:p/>
    <w:p>
      <w:r>
        <w:t>Describe hosting, environments, and deployment workflows.</w:t>
      </w:r>
    </w:p>
    <w:p/>
    <w:p>
      <w:pPr>
        <w:pStyle w:val="ListBullet"/>
      </w:pPr>
      <w:r>
        <w:t>Environments: Dev, test, prod (TBD details).</w:t>
      </w:r>
    </w:p>
    <w:p>
      <w:pPr>
        <w:pStyle w:val="ListBullet"/>
      </w:pPr>
      <w:r>
        <w:t>Hosting model: TBD (eg container apps, AKS, VM).</w:t>
      </w:r>
    </w:p>
    <w:p>
      <w:pPr>
        <w:pStyle w:val="ListBullet"/>
      </w:pPr>
      <w:r>
        <w:t>CI/CD: TBD.</w:t>
      </w:r>
    </w:p>
    <w:p>
      <w:pPr>
        <w:pStyle w:val="ListBullet"/>
      </w:pPr>
      <w:r>
        <w:t>Network topology: TBD.</w:t>
      </w:r>
    </w:p>
    <w:p/>
    <w:p>
      <w:bookmarkStart w:id="18" w:name="observability-and-operations"/>
      <w:pPr>
        <w:pStyle w:val="Heading2"/>
      </w:pPr>
      <w:r>
        <w:rPr>
          <w:b/>
        </w:rPr>
        <w:t>Observability and operations</w:t>
      </w:r>
      <w:bookmarkEnd w:id="18"/>
    </w:p>
    <w:p/>
    <w:p>
      <w:r>
        <w:t>Guidance:</w:t>
      </w:r>
    </w:p>
    <w:p>
      <w:pPr>
        <w:pStyle w:val="ListBullet"/>
      </w:pPr>
      <w:r>
        <w:t>Specify logging, metrics, alerting, and incident response ownership.</w:t>
      </w:r>
    </w:p>
    <w:p>
      <w:pPr>
        <w:pStyle w:val="ListBullet"/>
      </w:pPr>
      <w:r>
        <w:t>Include runbook expectations (start/stop, backup, key rotation).</w:t>
      </w:r>
    </w:p>
    <w:p/>
    <w:p>
      <w:r>
        <w:t>Define monitoring, logging, and support processes.</w:t>
      </w:r>
    </w:p>
    <w:p/>
    <w:p>
      <w:pPr>
        <w:pStyle w:val="ListBullet"/>
      </w:pPr>
      <w:r>
        <w:t>Metrics and alerts: TBD.</w:t>
      </w:r>
    </w:p>
    <w:p>
      <w:pPr>
        <w:pStyle w:val="ListBullet"/>
      </w:pPr>
      <w:r>
        <w:t>Logging and audit trails: TBD.</w:t>
      </w:r>
    </w:p>
    <w:p>
      <w:pPr>
        <w:pStyle w:val="ListBullet"/>
      </w:pPr>
      <w:r>
        <w:t>Incident response: TBD.</w:t>
      </w:r>
    </w:p>
    <w:p>
      <w:pPr>
        <w:pStyle w:val="ListBullet"/>
      </w:pPr>
      <w:r>
        <w:t>Runbooks: TBD.</w:t>
      </w:r>
    </w:p>
    <w:p/>
    <w:p>
      <w:bookmarkStart w:id="19" w:name="governance-and-decision-records"/>
      <w:pPr>
        <w:pStyle w:val="Heading2"/>
      </w:pPr>
      <w:r>
        <w:rPr>
          <w:b/>
        </w:rPr>
        <w:t>Governance and decision records</w:t>
      </w:r>
      <w:bookmarkEnd w:id="19"/>
    </w:p>
    <w:p/>
    <w:p>
      <w:r>
        <w:t>Guidance:</w:t>
      </w:r>
    </w:p>
    <w:p>
      <w:pPr>
        <w:pStyle w:val="ListBullet"/>
      </w:pPr>
      <w:r>
        <w:t>State how architectural decisions are captured and approved.</w:t>
      </w:r>
    </w:p>
    <w:p>
      <w:pPr>
        <w:pStyle w:val="ListBullet"/>
      </w:pPr>
      <w:r>
        <w:t>Provide ADR location and ownership.</w:t>
      </w:r>
    </w:p>
    <w:p/>
    <w:p>
      <w:r>
        <w:t>Use ADRs to capture key architectural decisions.</w:t>
      </w:r>
    </w:p>
    <w:p/>
    <w:p>
      <w:pPr>
        <w:pStyle w:val="ListBullet"/>
      </w:pPr>
      <w:r>
        <w:t xml:space="preserve">ADR framework: </w:t>
      </w:r>
      <w:hyperlink r:id="rId14">
        <w:r>
          <w:rPr>
            <w:u w:val="single"/>
            <w:color w:val="0000FF"/>
          </w:rPr>
          <w:t>https://www.gov.uk/government/publications/architectural-decision-record-framework/architectural-decision-record-framework</w:t>
        </w:r>
      </w:hyperlink>
    </w:p>
    <w:p>
      <w:pPr>
        <w:pStyle w:val="ListBullet"/>
      </w:pPr>
      <w:r>
        <w:t xml:space="preserve">ADR template (ADR-000): </w:t>
      </w:r>
      <w:hyperlink r:id="rId15">
        <w:r>
          <w:rPr>
            <w:u w:val="single"/>
            <w:color w:val="0000FF"/>
          </w:rPr>
          <w:t>https://assets.publishing.service.gov.uk/media/692471975f7777c304ba7ed7/ADR-000_Subject_of_Decision.docx</w:t>
        </w:r>
      </w:hyperlink>
    </w:p>
    <w:p>
      <w:pPr>
        <w:pStyle w:val="ListBullet"/>
      </w:pPr>
      <w:r>
        <w:t>ADR register location: TBD.</w:t>
      </w:r>
    </w:p>
    <w:p/>
    <w:p>
      <w:bookmarkStart w:id="20" w:name="standards-and-guidance-alignment"/>
      <w:pPr>
        <w:pStyle w:val="Heading2"/>
      </w:pPr>
      <w:r>
        <w:rPr>
          <w:b/>
        </w:rPr>
        <w:t>Standards and guidance alignment</w:t>
      </w:r>
      <w:bookmarkEnd w:id="20"/>
    </w:p>
    <w:p/>
    <w:p>
      <w:r>
        <w:t>Guidance:</w:t>
      </w:r>
    </w:p>
    <w:p>
      <w:pPr>
        <w:pStyle w:val="ListBullet"/>
      </w:pPr>
      <w:r>
        <w:t>List standards and policy guidance that the solution must align to.</w:t>
      </w:r>
    </w:p>
    <w:p>
      <w:pPr>
        <w:pStyle w:val="ListBullet"/>
      </w:pPr>
      <w:r>
        <w:t>Note any gaps or planned compliance work.</w:t>
      </w:r>
    </w:p>
    <w:p/>
    <w:p>
      <w:r>
        <w:t>Reference relevant government guidance and standards.</w:t>
      </w:r>
    </w:p>
    <w:p/>
    <w:p>
      <w:pPr>
        <w:pStyle w:val="ListBullet"/>
      </w:pPr>
      <w:r>
        <w:t>GOV.UK reference architecture guidance:</w:t>
      </w:r>
    </w:p>
    <w:p>
      <w:r>
        <w:t xml:space="preserve">  </w:t>
      </w:r>
      <w:hyperlink r:id="rId16">
        <w:r>
          <w:rPr>
            <w:u w:val="single"/>
            <w:color w:val="0000FF"/>
          </w:rPr>
          <w:t>https://www.gov.uk/guidance/develop-your-data-and-apis-using-a-reference-architecture</w:t>
        </w:r>
      </w:hyperlink>
    </w:p>
    <w:p>
      <w:pPr>
        <w:pStyle w:val="ListBullet"/>
      </w:pPr>
      <w:r>
        <w:t>GOV.UK Service Manual (governance principles):</w:t>
      </w:r>
    </w:p>
    <w:p>
      <w:r>
        <w:t xml:space="preserve">  </w:t>
      </w:r>
      <w:hyperlink r:id="rId17">
        <w:r>
          <w:rPr>
            <w:u w:val="single"/>
            <w:color w:val="0000FF"/>
          </w:rPr>
          <w:t>https://www.gov.uk/service-manual/agile-delivery/governance-principles-for-agile-service-delivery</w:t>
        </w:r>
      </w:hyperlink>
    </w:p>
    <w:p>
      <w:pPr>
        <w:pStyle w:val="ListBullet"/>
      </w:pPr>
      <w:r>
        <w:t>Other standards: TBD (eg NCSC CAF, Technology Code of Practice).</w:t>
      </w:r>
    </w:p>
    <w:p/>
    <w:p>
      <w:bookmarkStart w:id="21" w:name="risks-and-mitigations"/>
      <w:pPr>
        <w:pStyle w:val="Heading2"/>
      </w:pPr>
      <w:r>
        <w:rPr>
          <w:b/>
        </w:rPr>
        <w:t>Risks and mitigations</w:t>
      </w:r>
      <w:bookmarkEnd w:id="21"/>
    </w:p>
    <w:p/>
    <w:p>
      <w:r>
        <w:t>Guidance:</w:t>
      </w:r>
    </w:p>
    <w:p>
      <w:pPr>
        <w:pStyle w:val="ListBullet"/>
      </w:pPr>
      <w:r>
        <w:t>Record top architectural risks and mitigation actions.</w:t>
      </w:r>
    </w:p>
    <w:p>
      <w:pPr>
        <w:pStyle w:val="ListBullet"/>
      </w:pPr>
      <w:r>
        <w:t>Revisit after major changes or new dependencies.</w:t>
      </w:r>
    </w:p>
    <w:p/>
    <w:p>
      <w:r>
        <w:t>Capture architectural risks and how they are addressed.</w:t>
      </w:r>
    </w:p>
    <w:p/>
    <w:p>
      <w:pPr>
        <w:pStyle w:val="ListBullet"/>
      </w:pPr>
      <w:r>
        <w:t>Risk 1: TBD.</w:t>
      </w:r>
    </w:p>
    <w:p>
      <w:pPr>
        <w:pStyle w:val="ListBullet"/>
      </w:pPr>
      <w:r>
        <w:t>Risk 2: TBD.</w:t>
      </w:r>
    </w:p>
    <w:p/>
    <w:p>
      <w:bookmarkStart w:id="22" w:name="cost-model-and-financial-assumptions"/>
      <w:pPr>
        <w:pStyle w:val="Heading2"/>
      </w:pPr>
      <w:r>
        <w:rPr>
          <w:b/>
        </w:rPr>
        <w:t>Cost model and financial assumptions</w:t>
      </w:r>
      <w:bookmarkEnd w:id="22"/>
    </w:p>
    <w:p/>
    <w:p>
      <w:r>
        <w:t>Guidance:</w:t>
      </w:r>
    </w:p>
    <w:p>
      <w:pPr>
        <w:pStyle w:val="ListBullet"/>
      </w:pPr>
      <w:r>
        <w:t>Identify main cost drivers and assumptions.</w:t>
      </w:r>
    </w:p>
    <w:p>
      <w:pPr>
        <w:pStyle w:val="ListBullet"/>
      </w:pPr>
      <w:r>
        <w:t>Include expected cost ranges if available.</w:t>
      </w:r>
    </w:p>
    <w:p/>
    <w:p>
      <w:r>
        <w:t>Summarize expected costs and assumptions.</w:t>
      </w:r>
    </w:p>
    <w:p/>
    <w:p>
      <w:pPr>
        <w:pStyle w:val="ListBullet"/>
      </w:pPr>
      <w:r>
        <w:t>Cost drivers: TBD.</w:t>
      </w:r>
    </w:p>
    <w:p>
      <w:pPr>
        <w:pStyle w:val="ListBullet"/>
      </w:pPr>
      <w:r>
        <w:t>Estimated monthly cost: TBD.</w:t>
      </w:r>
    </w:p>
    <w:p>
      <w:pPr>
        <w:pStyle w:val="ListBullet"/>
      </w:pPr>
      <w:r>
        <w:t>Cost risks: TBD.</w:t>
      </w:r>
    </w:p>
    <w:p/>
    <w:p>
      <w:bookmarkStart w:id="23" w:name="migration-and-transition-plan"/>
      <w:pPr>
        <w:pStyle w:val="Heading2"/>
      </w:pPr>
      <w:r>
        <w:rPr>
          <w:b/>
        </w:rPr>
        <w:t>Migration and transition plan</w:t>
      </w:r>
      <w:bookmarkEnd w:id="23"/>
    </w:p>
    <w:p/>
    <w:p>
      <w:r>
        <w:t>Guidance:</w:t>
      </w:r>
    </w:p>
    <w:p>
      <w:pPr>
        <w:pStyle w:val="ListBullet"/>
      </w:pPr>
      <w:r>
        <w:t>Describe the path from POC to pilot/production.</w:t>
      </w:r>
    </w:p>
    <w:p>
      <w:pPr>
        <w:pStyle w:val="ListBullet"/>
      </w:pPr>
      <w:r>
        <w:t>Include phases, dependencies, and rollback considerations.</w:t>
      </w:r>
    </w:p>
    <w:p/>
    <w:p>
      <w:r>
        <w:t>Describe how to move from current to target state.</w:t>
      </w:r>
    </w:p>
    <w:p/>
    <w:p>
      <w:pPr>
        <w:pStyle w:val="ListBullet"/>
      </w:pPr>
      <w:r>
        <w:t>Current state summary: TBD.</w:t>
      </w:r>
    </w:p>
    <w:p>
      <w:pPr>
        <w:pStyle w:val="ListBullet"/>
      </w:pPr>
      <w:r>
        <w:t>Transition phases: TBD.</w:t>
      </w:r>
    </w:p>
    <w:p>
      <w:pPr>
        <w:pStyle w:val="ListBullet"/>
      </w:pPr>
      <w:r>
        <w:t>Cutover approach: TBD.</w:t>
      </w:r>
    </w:p>
    <w:p/>
    <w:p>
      <w:bookmarkStart w:id="24" w:name="testing-and-assurance"/>
      <w:pPr>
        <w:pStyle w:val="Heading2"/>
      </w:pPr>
      <w:r>
        <w:rPr>
          <w:b/>
        </w:rPr>
        <w:t>Testing and assurance</w:t>
      </w:r>
      <w:bookmarkEnd w:id="24"/>
    </w:p>
    <w:p/>
    <w:p>
      <w:r>
        <w:t>Guidance:</w:t>
      </w:r>
    </w:p>
    <w:p>
      <w:pPr>
        <w:pStyle w:val="ListBullet"/>
      </w:pPr>
      <w:r>
        <w:t>List testing types and responsibilities (unit, integration, security, performance).</w:t>
      </w:r>
    </w:p>
    <w:p>
      <w:pPr>
        <w:pStyle w:val="ListBullet"/>
      </w:pPr>
      <w:r>
        <w:t>Include service assessment readiness and accreditation steps.</w:t>
      </w:r>
    </w:p>
    <w:p/>
    <w:p>
      <w:r>
        <w:t>Define testing and assurance approach.</w:t>
      </w:r>
    </w:p>
    <w:p/>
    <w:p>
      <w:pPr>
        <w:pStyle w:val="ListBullet"/>
      </w:pPr>
      <w:r>
        <w:t>Unit and integration testing: TBD.</w:t>
      </w:r>
    </w:p>
    <w:p>
      <w:pPr>
        <w:pStyle w:val="ListBullet"/>
      </w:pPr>
      <w:r>
        <w:t>Security testing: TBD.</w:t>
      </w:r>
    </w:p>
    <w:p>
      <w:pPr>
        <w:pStyle w:val="ListBullet"/>
      </w:pPr>
      <w:r>
        <w:t>Performance testing: TBD.</w:t>
      </w:r>
    </w:p>
    <w:p>
      <w:pPr>
        <w:pStyle w:val="ListBullet"/>
      </w:pPr>
      <w:r>
        <w:t>Service assessment readiness: TBD.</w:t>
      </w:r>
    </w:p>
    <w:p/>
    <w:p>
      <w:bookmarkStart w:id="25" w:name="appendix"/>
      <w:pPr>
        <w:pStyle w:val="Heading2"/>
      </w:pPr>
      <w:r>
        <w:rPr>
          <w:b/>
        </w:rPr>
        <w:t>Appendix</w:t>
      </w:r>
      <w:bookmarkEnd w:id="25"/>
    </w:p>
    <w:p/>
    <w:p>
      <w:r>
        <w:t>Guidance:</w:t>
      </w:r>
    </w:p>
    <w:p>
      <w:pPr>
        <w:pStyle w:val="ListBullet"/>
      </w:pPr>
      <w:r>
        <w:t>Keep glossary and references short and relevant.</w:t>
      </w:r>
    </w:p>
    <w:p/>
    <w:p>
      <w:bookmarkStart w:id="26" w:name="glossary"/>
      <w:pPr>
        <w:pStyle w:val="Heading3"/>
      </w:pPr>
      <w:r>
        <w:rPr>
          <w:b/>
        </w:rPr>
        <w:t>Glossary</w:t>
      </w:r>
      <w:bookmarkEnd w:id="26"/>
    </w:p>
    <w:p/>
    <w:p>
      <w:r>
        <w:t>Guidance:</w:t>
      </w:r>
    </w:p>
    <w:p>
      <w:pPr>
        <w:pStyle w:val="ListBullet"/>
      </w:pPr>
      <w:r>
        <w:t>Include key acronyms and service‑specific terms.</w:t>
      </w:r>
    </w:p>
    <w:p/>
    <w:p>
      <w:pPr>
        <w:pStyle w:val="ListBullet"/>
      </w:pPr>
      <w:r>
        <w:t>CAF: Cyber Assessment Framework.</w:t>
      </w:r>
    </w:p>
    <w:p>
      <w:pPr>
        <w:pStyle w:val="ListBullet"/>
      </w:pPr>
      <w:r>
        <w:t>ADR: Architectural Decision Record.</w:t>
      </w:r>
    </w:p>
    <w:p>
      <w:pPr>
        <w:pStyle w:val="ListBullet"/>
      </w:pPr>
      <w:r>
        <w:t>TBD: To be determined.</w:t>
      </w:r>
    </w:p>
    <w:p/>
    <w:p>
      <w:bookmarkStart w:id="27" w:name="references"/>
      <w:pPr>
        <w:pStyle w:val="Heading3"/>
      </w:pPr>
      <w:r>
        <w:rPr>
          <w:b/>
        </w:rPr>
        <w:t>References</w:t>
      </w:r>
      <w:bookmarkEnd w:id="27"/>
    </w:p>
    <w:p/>
    <w:p>
      <w:r>
        <w:t>Guidance:</w:t>
      </w:r>
    </w:p>
    <w:p>
      <w:pPr>
        <w:pStyle w:val="ListBullet"/>
      </w:pPr>
      <w:r>
        <w:t>Link to authoritative sources and supporting internal docs.</w:t>
      </w:r>
    </w:p>
    <w:p/>
    <w:p>
      <w:pPr>
        <w:pStyle w:val="ListBullet"/>
      </w:pPr>
      <w:r>
        <w:t>Architectural Decision Record Framework (GOV.UK):</w:t>
      </w:r>
    </w:p>
    <w:p>
      <w:r>
        <w:t xml:space="preserve">  </w:t>
      </w:r>
      <w:hyperlink r:id="rId14">
        <w:r>
          <w:rPr>
            <w:u w:val="single"/>
            <w:color w:val="0000FF"/>
          </w:rPr>
          <w:t>https://www.gov.uk/government/publications/architectural-decision-record-framework/architectural-decision-record-framework</w:t>
        </w:r>
      </w:hyperlink>
    </w:p>
    <w:p>
      <w:pPr>
        <w:pStyle w:val="ListBullet"/>
      </w:pPr>
      <w:r>
        <w:t>ADR-000 template (GOV.UK):</w:t>
      </w:r>
    </w:p>
    <w:p>
      <w:r>
        <w:t xml:space="preserve">  </w:t>
      </w:r>
      <w:hyperlink r:id="rId15">
        <w:r>
          <w:rPr>
            <w:u w:val="single"/>
            <w:color w:val="0000FF"/>
          </w:rPr>
          <w:t>https://assets.publishing.service.gov.uk/media/692471975f7777c304ba7ed7/ADR-000_Subject_of_Decision.docx</w:t>
        </w:r>
      </w:hyperlink>
    </w:p>
    <w:p>
      <w:pPr>
        <w:pStyle w:val="ListBullet"/>
      </w:pPr>
      <w:r>
        <w:t>Reference architecture guidance (GOV.UK):</w:t>
      </w:r>
    </w:p>
    <w:p>
      <w:r>
        <w:t xml:space="preserve">  </w:t>
      </w:r>
      <w:hyperlink r:id="rId16">
        <w:r>
          <w:rPr>
            <w:u w:val="single"/>
            <w:color w:val="0000FF"/>
          </w:rPr>
          <w:t>https://www.gov.uk/guidance/develop-your-data-and-apis-using-a-reference-architecture</w:t>
        </w:r>
      </w:hyperlink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user-attachments/assets/358a2279-f77b-4189-b7bd-377c83c5a44a&quot;" TargetMode="External"/><Relationship Id="rId10" Type="http://schemas.openxmlformats.org/officeDocument/2006/relationships/hyperlink" Target="https://github.com/user-attachments/assets/a6685e9c-e09f-4be9-b506-3196a7534808&quot;" TargetMode="External"/><Relationship Id="rId11" Type="http://schemas.openxmlformats.org/officeDocument/2006/relationships/hyperlink" Target="https://github.com/user-attachments/assets/0cf6ac3b-c062-42ff-90bf-ebf024cab247&quot;" TargetMode="External"/><Relationship Id="rId12" Type="http://schemas.openxmlformats.org/officeDocument/2006/relationships/hyperlink" Target="https://github.com/user-attachments/assets/bf0c2601-182a-48c4-acfd-e1daf6570301&quot;" TargetMode="External"/><Relationship Id="rId13" Type="http://schemas.openxmlformats.org/officeDocument/2006/relationships/hyperlink" Target="https://github.com/user-attachments/assets/85e1772d-a663-4bbd-95f0-422a10ed7889&quot;" TargetMode="External"/><Relationship Id="rId14" Type="http://schemas.openxmlformats.org/officeDocument/2006/relationships/hyperlink" Target="https://www.gov.uk/government/publications/architectural-decision-record-framework/architectural-decision-record-framework" TargetMode="External"/><Relationship Id="rId15" Type="http://schemas.openxmlformats.org/officeDocument/2006/relationships/hyperlink" Target="https://assets.publishing.service.gov.uk/media/692471975f7777c304ba7ed7/ADR-000_Subject_of_Decision.docx" TargetMode="External"/><Relationship Id="rId16" Type="http://schemas.openxmlformats.org/officeDocument/2006/relationships/hyperlink" Target="https://www.gov.uk/guidance/develop-your-data-and-apis-using-a-reference-architecture" TargetMode="External"/><Relationship Id="rId17" Type="http://schemas.openxmlformats.org/officeDocument/2006/relationships/hyperlink" Target="https://www.gov.uk/service-manual/agile-delivery/governance-principles-for-agile-service-deliv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