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Community+ Economic Control Mechanism (ECM)</w:t>
        <w:br/>
        <w:t>Institutional Whitepaper</w:t>
        <w:br/>
      </w:r>
    </w:p>
    <w:p>
      <w:r>
        <w:t>Version 1.0</w:t>
      </w:r>
    </w:p>
    <w:p/>
    <w:p>
      <w:pPr>
        <w:pStyle w:val="Heading1"/>
      </w:pPr>
      <w:r>
        <w:t>Executive Summary</w:t>
      </w:r>
    </w:p>
    <w:p>
      <w:r>
        <w:t>Community+ is a location-aware digital community platform designed to surface, verify, and distribute hyper-local information. This whitepaper introduces the Community+ Economic Control Mechanism (ECM), a sustainability-first framework that governs token issuance and withdrawal based on real-world financial performance.</w:t>
      </w:r>
    </w:p>
    <w:p>
      <w:r>
        <w:t>The ECM ensures that tokens are emitted only when platform revenue exceeds operating costs, and are absorbed when costs outpace revenue. This creates a self-correcting economic system that prioritises longevity, trust, and civic utility over speculation.</w:t>
      </w:r>
    </w:p>
    <w:p/>
    <w:p>
      <w:pPr>
        <w:pStyle w:val="Heading1"/>
      </w:pPr>
      <w:r>
        <w:t>Problem Statement</w:t>
      </w:r>
    </w:p>
    <w:p>
      <w:r>
        <w:t>Most tokenised platforms decouple token supply from operational reality, leading to inflation, speculative behaviour, and long-term instability. Community+ addresses this by anchoring token dynamics directly to measurable platform economics.</w:t>
      </w:r>
    </w:p>
    <w:p/>
    <w:p>
      <w:pPr>
        <w:pStyle w:val="Heading1"/>
      </w:pPr>
      <w:r>
        <w:t>Design Principles</w:t>
      </w:r>
    </w:p>
    <w:p>
      <w:r>
        <w:t>1. Sustainability before growth</w:t>
        <w:br/>
        <w:t>2. Revenue-backed emissions only</w:t>
        <w:br/>
        <w:t>3. Automatic deficit correction</w:t>
        <w:br/>
        <w:t>4. Utility and trust over speculation</w:t>
        <w:br/>
        <w:t>5. Regulatory and institutional compatibility</w:t>
      </w:r>
    </w:p>
    <w:p/>
    <w:p>
      <w:pPr>
        <w:pStyle w:val="Heading1"/>
      </w:pPr>
      <w:r>
        <w:t>Economic Variables</w:t>
      </w:r>
    </w:p>
    <w:p>
      <w:r>
        <w:t>All calculations occur per discrete accounting period (monthly).</w:t>
      </w:r>
    </w:p>
    <w:p>
      <w:r>
        <w:t>C_t: Total operating cost, including infrastructure, AI inference, and core operations.</w:t>
        <w:br/>
        <w:t>R_t: Total platform revenue, including advertising, sponsorships, and premium services.</w:t>
      </w:r>
    </w:p>
    <w:p/>
    <w:p>
      <w:pPr>
        <w:pStyle w:val="Heading1"/>
      </w:pPr>
      <w:r>
        <w:t>Economic Coverage Ratio (ECR)</w:t>
      </w:r>
    </w:p>
    <w:p>
      <w:r>
        <w:t>ECR_t = R_t / C_t</w:t>
      </w:r>
    </w:p>
    <w:p>
      <w:r>
        <w:t>ECR &lt; 1.0 indicates deficit</w:t>
        <w:br/>
        <w:t>ECR = 1.0 indicates equilibrium</w:t>
        <w:br/>
        <w:t>ECR &gt; 1.0 indicates surplus</w:t>
      </w:r>
    </w:p>
    <w:p/>
    <w:p>
      <w:pPr>
        <w:pStyle w:val="Heading1"/>
      </w:pPr>
      <w:r>
        <w:t>Equilibrium Band</w:t>
      </w:r>
    </w:p>
    <w:p>
      <w:r>
        <w:t>To prevent oscillation and instability, Community+ defines a neutral operating band:</w:t>
      </w:r>
    </w:p>
    <w:p>
      <w:r>
        <w:t>0.95 ≤ ECR ≤ 1.10</w:t>
      </w:r>
    </w:p>
    <w:p>
      <w:r>
        <w:t>Within this band, token flows are minimal or zero.</w:t>
      </w:r>
    </w:p>
    <w:p/>
    <w:p>
      <w:pPr>
        <w:pStyle w:val="Heading1"/>
      </w:pPr>
      <w:r>
        <w:t>Token Emission Mechanism</w:t>
      </w:r>
    </w:p>
    <w:p>
      <w:r>
        <w:t>When ECR &gt; 1.0, token emissions are permitted under strict caps.</w:t>
      </w:r>
    </w:p>
    <w:p>
      <w:r>
        <w:t>Emission_t = min(T_max, k_e × (ECR − 1))</w:t>
      </w:r>
    </w:p>
    <w:p>
      <w:r>
        <w:t>This ensures proportional, capped emissions tied to surplus.</w:t>
      </w:r>
    </w:p>
    <w:p/>
    <w:p>
      <w:pPr>
        <w:pStyle w:val="Heading1"/>
      </w:pPr>
      <w:r>
        <w:t>Token Sink Mechanism</w:t>
      </w:r>
    </w:p>
    <w:p>
      <w:r>
        <w:t>When ECR &lt; 1.0, token sinks activate automatically.</w:t>
      </w:r>
    </w:p>
    <w:p>
      <w:r>
        <w:t>Sink_t = min(T_smax, k_s × (1 − ECR))</w:t>
      </w:r>
    </w:p>
    <w:p>
      <w:r>
        <w:t>Sinks occur through voluntary utility expenditure such as content boosts, premium features, and ad reservations.</w:t>
      </w:r>
    </w:p>
    <w:p/>
    <w:p>
      <w:pPr>
        <w:pStyle w:val="Heading1"/>
      </w:pPr>
      <w:r>
        <w:t>Treasury Model</w:t>
      </w:r>
    </w:p>
    <w:p>
      <w:r>
        <w:t>The Community+ Treasury acts as the buffer and settlement layer for all emissions and sinks. Treasury balances are auditable and governed by transparent rules.</w:t>
      </w:r>
    </w:p>
    <w:p/>
    <w:p>
      <w:pPr>
        <w:pStyle w:val="Heading1"/>
      </w:pPr>
      <w:r>
        <w:t>Governance Constraints</w:t>
      </w:r>
    </w:p>
    <w:p>
      <w:r>
        <w:t>Key parameters (caps, sensitivities, bands) may only be changed via community governance processes with time-locked execution to prevent manipulation.</w:t>
      </w:r>
    </w:p>
    <w:p/>
    <w:p>
      <w:pPr>
        <w:pStyle w:val="Heading1"/>
      </w:pPr>
      <w:r>
        <w:t>Regulatory Positioning</w:t>
      </w:r>
    </w:p>
    <w:p>
      <w:r>
        <w:t>Community+ tokens are utility instruments representing participation and trust. They do not confer ownership, profit rights, dividends, or yield expectations.</w:t>
      </w:r>
    </w:p>
    <w:p/>
    <w:p>
      <w:pPr>
        <w:pStyle w:val="Heading1"/>
      </w:pPr>
      <w:r>
        <w:t>Risk Analysis</w:t>
      </w:r>
    </w:p>
    <w:p>
      <w:r>
        <w:t>Cost shocks trigger automatic contraction.</w:t>
        <w:br/>
        <w:t>Revenue volatility is dampened by flat-fee pricing.</w:t>
        <w:br/>
        <w:t>Speculative pressure is mitigated by delayed transferability and capped emissions.</w:t>
      </w:r>
    </w:p>
    <w:p/>
    <w:p>
      <w:pPr>
        <w:pStyle w:val="Heading1"/>
      </w:pPr>
      <w:r>
        <w:t>Conclusion</w:t>
      </w:r>
    </w:p>
    <w:p>
      <w:r>
        <w:t>The ECM establishes a measurable, enforceable sustainability rule:</w:t>
      </w:r>
    </w:p>
    <w:p>
      <w:r>
        <w:t>Tokens expand only when revenue exceeds cost, and contract when it does not.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