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 Employee Portal — Billing Summary</w:t>
      </w:r>
    </w:p>
    <w:p>
      <w:r>
        <w:rPr>
          <w:color w:val="555555"/>
          <w:sz w:val="22"/>
        </w:rPr>
        <w:t>Billing Period: June 23 – July 7,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2E4053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152"/>
            <w:shd w:val="clear" w:color="auto" w:fill="2E4053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6192"/>
            <w:shd w:val="clear" w:color="auto" w:fill="2E4053"/>
          </w:tcPr>
          <w:p>
            <w:r>
              <w:rPr>
                <w:b/>
                <w:color w:val="FFFFFF"/>
              </w:rPr>
              <w:t>Work Performed</w:t>
            </w:r>
          </w:p>
        </w:tc>
      </w:tr>
      <w:tr>
        <w:tc>
          <w:tcPr>
            <w:tcW w:type="dxa" w:w="1584"/>
          </w:tcPr>
          <w:p>
            <w:r>
              <w:t>06/29/2026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192"/>
          </w:tcPr>
          <w:p>
            <w:r>
              <w:t>Phase 1 build: authentication, leave management, timesheets, approvals; admin console; user profile and navigation updates</w:t>
            </w:r>
          </w:p>
        </w:tc>
      </w:tr>
      <w:tr>
        <w:tc>
          <w:tcPr>
            <w:tcW w:type="dxa" w:w="1584"/>
          </w:tcPr>
          <w:p>
            <w:r>
              <w:t>06/30/2026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192"/>
          </w:tcPr>
          <w:p>
            <w:r>
              <w:t>UI overhaul of dashboard, leave reports, approvals, employees, timesheet, calendar, and history pages; scope documentation</w:t>
            </w:r>
          </w:p>
        </w:tc>
      </w:tr>
      <w:tr>
        <w:tc>
          <w:tcPr>
            <w:tcW w:type="dxa" w:w="1584"/>
          </w:tcPr>
          <w:p>
            <w:r>
              <w:t>07/02/2026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192"/>
          </w:tcPr>
          <w:p>
            <w:r>
              <w:t>Responsive layout refactor across portal and admin sections</w:t>
            </w:r>
          </w:p>
        </w:tc>
      </w:tr>
      <w:tr>
        <w:tc>
          <w:tcPr>
            <w:tcW w:type="dxa" w:w="1584"/>
            <w:shd w:val="clear" w:color="auto" w:fill="D5D8D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152"/>
            <w:shd w:val="clear" w:color="auto" w:fill="D5D8DC"/>
          </w:tcPr>
          <w:p>
            <w:pPr>
              <w:jc w:val="center"/>
            </w:pPr>
            <w:r>
              <w:rPr>
                <w:b/>
              </w:rPr>
              <w:t>7.0</w:t>
            </w:r>
          </w:p>
        </w:tc>
        <w:tc>
          <w:tcPr>
            <w:tcW w:type="dxa" w:w="6192"/>
            <w:shd w:val="clear" w:color="auto" w:fill="D5D8DC"/>
          </w:tcPr>
          <w:p>
            <w:r>
              <w:rPr>
                <w:b/>
              </w:rPr>
            </w:r>
          </w:p>
        </w:tc>
      </w:tr>
    </w:tbl>
    <w:p/>
    <w:p>
      <w:r>
        <w:rPr>
          <w:i/>
          <w:color w:val="888888"/>
          <w:sz w:val="18"/>
        </w:rPr>
        <w:t>Note: Estimates derived from development activity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