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bookmarkStart w:id="0" w:name="_GoBack"/>
      <w:bookmarkEnd w:id="0"/>
      <w:r>
        <w:rPr>
          <w:rFonts w:ascii="Verdana" w:hAnsi="Verdana"/>
          <w:b/>
          <w:sz w:val="28"/>
          <w:szCs w:val="28"/>
        </w:rPr>
        <w:t>State Grants for Assistive Technology Program</w:t>
      </w:r>
    </w:p>
    <w:p w14:paraId="30E2DA38" w14:textId="77777777" w:rsidR="00A537E0" w:rsidRDefault="00A537E0" w:rsidP="00A537E0">
      <w:pPr>
        <w:pStyle w:val="Heading1"/>
      </w:pPr>
      <w:r>
        <w:t>[Insert State/Territory]</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AE5A9A"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AE5A9A"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AE5A9A"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AE5A9A"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AE5A9A"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AE5A9A"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AE5A9A"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AE5A9A"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AE5A9A"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AE5A9A"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AE5A9A"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AE5A9A"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AE5A9A"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AE5A9A"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AE5A9A"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AE5A9A"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AE5A9A"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AE5A9A"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AE5A9A"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AE5A9A"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AE5A9A"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AE5A9A"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AE5A9A"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AE5A9A"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1" w:name="_Toc30492491"/>
      <w:r w:rsidRPr="00066E54">
        <w:t>Identification and Description of Lead Agency and Implementing Entity; Change in Lead Agency or Implementing Entity</w:t>
      </w:r>
      <w:bookmarkEnd w:id="1"/>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2"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2"/>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77777777" w:rsidR="00B347B6" w:rsidRDefault="00B347B6" w:rsidP="009F6CA3">
            <w:pPr>
              <w:rPr>
                <w:b/>
                <w:sz w:val="22"/>
                <w:szCs w:val="22"/>
              </w:rPr>
            </w:pPr>
            <w:r>
              <w:rPr>
                <w:sz w:val="22"/>
                <w:szCs w:val="22"/>
              </w:rPr>
              <w:t>1. State Program Title</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77777777" w:rsidR="00B347B6" w:rsidRDefault="00B347B6" w:rsidP="009F6CA3">
            <w:pPr>
              <w:rPr>
                <w:sz w:val="22"/>
                <w:szCs w:val="22"/>
              </w:rPr>
            </w:pPr>
            <w:r>
              <w:rPr>
                <w:sz w:val="22"/>
                <w:szCs w:val="22"/>
              </w:rPr>
              <w:t>2. State AT Program URL (home page for State AT Program)</w:t>
            </w:r>
          </w:p>
        </w:tc>
      </w:tr>
      <w:tr w:rsidR="00B347B6" w14:paraId="182DA963" w14:textId="77777777" w:rsidTr="003E4186">
        <w:tc>
          <w:tcPr>
            <w:tcW w:w="4734" w:type="dxa"/>
            <w:tcBorders>
              <w:left w:val="single" w:sz="12" w:space="0" w:color="auto"/>
              <w:right w:val="single" w:sz="12" w:space="0" w:color="auto"/>
            </w:tcBorders>
          </w:tcPr>
          <w:p w14:paraId="3427F0BE" w14:textId="77777777" w:rsidR="00B347B6" w:rsidRDefault="00B347B6" w:rsidP="009F6CA3">
            <w:pPr>
              <w:rPr>
                <w:sz w:val="22"/>
                <w:szCs w:val="22"/>
              </w:rPr>
            </w:pPr>
            <w:r>
              <w:rPr>
                <w:sz w:val="22"/>
                <w:szCs w:val="22"/>
              </w:rPr>
              <w:t>3. Mailing address</w:t>
            </w:r>
          </w:p>
        </w:tc>
        <w:tc>
          <w:tcPr>
            <w:tcW w:w="4734" w:type="dxa"/>
            <w:tcBorders>
              <w:left w:val="single" w:sz="12" w:space="0" w:color="auto"/>
              <w:right w:val="single" w:sz="12" w:space="0" w:color="auto"/>
            </w:tcBorders>
          </w:tcPr>
          <w:p w14:paraId="7B4B70A7" w14:textId="77777777" w:rsidR="00B347B6" w:rsidRDefault="00B347B6" w:rsidP="009F6CA3">
            <w:pPr>
              <w:rPr>
                <w:sz w:val="22"/>
                <w:szCs w:val="22"/>
              </w:rPr>
            </w:pPr>
            <w:r>
              <w:rPr>
                <w:sz w:val="22"/>
                <w:szCs w:val="22"/>
              </w:rPr>
              <w:t>5. State</w:t>
            </w:r>
          </w:p>
        </w:tc>
      </w:tr>
      <w:tr w:rsidR="00B347B6" w14:paraId="505B0B59" w14:textId="77777777" w:rsidTr="003E4186">
        <w:tc>
          <w:tcPr>
            <w:tcW w:w="4734" w:type="dxa"/>
            <w:tcBorders>
              <w:left w:val="single" w:sz="12" w:space="0" w:color="auto"/>
              <w:right w:val="single" w:sz="12" w:space="0" w:color="auto"/>
            </w:tcBorders>
          </w:tcPr>
          <w:p w14:paraId="2AC7F20A" w14:textId="77777777" w:rsidR="00B347B6" w:rsidRDefault="00B347B6" w:rsidP="009F6CA3">
            <w:pPr>
              <w:rPr>
                <w:sz w:val="22"/>
                <w:szCs w:val="22"/>
              </w:rPr>
            </w:pPr>
            <w:r>
              <w:rPr>
                <w:sz w:val="22"/>
                <w:szCs w:val="22"/>
              </w:rPr>
              <w:t>4. City</w:t>
            </w:r>
          </w:p>
        </w:tc>
        <w:tc>
          <w:tcPr>
            <w:tcW w:w="4734" w:type="dxa"/>
            <w:tcBorders>
              <w:left w:val="single" w:sz="12" w:space="0" w:color="auto"/>
              <w:right w:val="single" w:sz="12" w:space="0" w:color="auto"/>
            </w:tcBorders>
          </w:tcPr>
          <w:p w14:paraId="539D3084" w14:textId="77777777" w:rsidR="00B347B6" w:rsidRDefault="00B347B6" w:rsidP="009F6CA3">
            <w:pPr>
              <w:rPr>
                <w:sz w:val="22"/>
                <w:szCs w:val="22"/>
              </w:rPr>
            </w:pPr>
            <w:r>
              <w:rPr>
                <w:sz w:val="22"/>
                <w:szCs w:val="22"/>
              </w:rPr>
              <w:t>6. Zip code</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77777777"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77777777"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Program)</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77777777" w:rsidR="00B347B6" w:rsidRDefault="00B347B6" w:rsidP="009F6CA3">
            <w:pPr>
              <w:rPr>
                <w:sz w:val="22"/>
                <w:szCs w:val="22"/>
              </w:rPr>
            </w:pPr>
            <w:r>
              <w:rPr>
                <w:sz w:val="22"/>
                <w:szCs w:val="22"/>
              </w:rPr>
              <w:t>10. Agency name</w:t>
            </w:r>
          </w:p>
        </w:tc>
      </w:tr>
      <w:tr w:rsidR="00B347B6" w14:paraId="0488634D" w14:textId="77777777" w:rsidTr="003E4186">
        <w:tc>
          <w:tcPr>
            <w:tcW w:w="4734" w:type="dxa"/>
            <w:tcBorders>
              <w:left w:val="single" w:sz="12" w:space="0" w:color="auto"/>
              <w:right w:val="single" w:sz="12" w:space="0" w:color="auto"/>
            </w:tcBorders>
          </w:tcPr>
          <w:p w14:paraId="4331CCC6" w14:textId="77777777" w:rsidR="00B347B6" w:rsidRDefault="00B347B6" w:rsidP="009F6CA3">
            <w:pPr>
              <w:rPr>
                <w:sz w:val="22"/>
                <w:szCs w:val="22"/>
              </w:rPr>
            </w:pPr>
            <w:r>
              <w:rPr>
                <w:sz w:val="22"/>
                <w:szCs w:val="22"/>
              </w:rPr>
              <w:t>11. Mailing address</w:t>
            </w:r>
          </w:p>
        </w:tc>
        <w:tc>
          <w:tcPr>
            <w:tcW w:w="4734" w:type="dxa"/>
            <w:tcBorders>
              <w:left w:val="single" w:sz="12" w:space="0" w:color="auto"/>
              <w:right w:val="single" w:sz="12" w:space="0" w:color="auto"/>
            </w:tcBorders>
          </w:tcPr>
          <w:p w14:paraId="6889AB95" w14:textId="77777777" w:rsidR="00B347B6" w:rsidRDefault="00B347B6" w:rsidP="009F6CA3">
            <w:pPr>
              <w:rPr>
                <w:sz w:val="22"/>
                <w:szCs w:val="22"/>
              </w:rPr>
            </w:pPr>
            <w:r>
              <w:rPr>
                <w:sz w:val="22"/>
                <w:szCs w:val="22"/>
              </w:rPr>
              <w:t>13. State</w:t>
            </w:r>
          </w:p>
        </w:tc>
      </w:tr>
      <w:tr w:rsidR="00B347B6" w14:paraId="5035D8F1" w14:textId="77777777" w:rsidTr="003E4186">
        <w:tc>
          <w:tcPr>
            <w:tcW w:w="4734" w:type="dxa"/>
            <w:tcBorders>
              <w:left w:val="single" w:sz="12" w:space="0" w:color="auto"/>
              <w:right w:val="single" w:sz="12" w:space="0" w:color="auto"/>
            </w:tcBorders>
          </w:tcPr>
          <w:p w14:paraId="7F563139" w14:textId="77777777" w:rsidR="00B347B6" w:rsidRDefault="00B347B6" w:rsidP="009F6CA3">
            <w:pPr>
              <w:rPr>
                <w:sz w:val="22"/>
                <w:szCs w:val="22"/>
              </w:rPr>
            </w:pPr>
            <w:r>
              <w:rPr>
                <w:sz w:val="22"/>
                <w:szCs w:val="22"/>
              </w:rPr>
              <w:t>12. City</w:t>
            </w:r>
          </w:p>
        </w:tc>
        <w:tc>
          <w:tcPr>
            <w:tcW w:w="4734" w:type="dxa"/>
            <w:tcBorders>
              <w:left w:val="single" w:sz="12" w:space="0" w:color="auto"/>
              <w:right w:val="single" w:sz="12" w:space="0" w:color="auto"/>
            </w:tcBorders>
          </w:tcPr>
          <w:p w14:paraId="28AB5703" w14:textId="77777777" w:rsidR="00B347B6" w:rsidRDefault="00B347B6" w:rsidP="009F6CA3">
            <w:pPr>
              <w:rPr>
                <w:sz w:val="22"/>
                <w:szCs w:val="22"/>
              </w:rPr>
            </w:pPr>
            <w:r>
              <w:rPr>
                <w:sz w:val="22"/>
                <w:szCs w:val="22"/>
              </w:rPr>
              <w:t>14. Zip code</w:t>
            </w:r>
          </w:p>
        </w:tc>
      </w:tr>
      <w:tr w:rsidR="00B347B6" w14:paraId="25F1A29C" w14:textId="77777777" w:rsidTr="003E4186">
        <w:tc>
          <w:tcPr>
            <w:tcW w:w="9468" w:type="dxa"/>
            <w:gridSpan w:val="2"/>
            <w:tcBorders>
              <w:left w:val="single" w:sz="12" w:space="0" w:color="auto"/>
              <w:right w:val="single" w:sz="12" w:space="0" w:color="auto"/>
            </w:tcBorders>
          </w:tcPr>
          <w:p w14:paraId="3CD08100" w14:textId="77777777" w:rsidR="00B347B6" w:rsidRDefault="00B347B6" w:rsidP="009F6CA3">
            <w:pPr>
              <w:rPr>
                <w:sz w:val="22"/>
                <w:szCs w:val="22"/>
              </w:rPr>
            </w:pPr>
            <w:r>
              <w:rPr>
                <w:sz w:val="22"/>
                <w:szCs w:val="22"/>
              </w:rPr>
              <w:t>15. Lead Agency URL</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77777777"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3" w:name="Check1"/>
            <w:r w:rsidR="00BF3271">
              <w:rPr>
                <w:rFonts w:ascii="Arial" w:hAnsi="Arial"/>
                <w:sz w:val="22"/>
                <w:szCs w:val="22"/>
              </w:rPr>
              <w:instrText xml:space="preserve"> FORMCHECKBOX </w:instrText>
            </w:r>
            <w:r w:rsidR="00AE5A9A">
              <w:rPr>
                <w:rFonts w:ascii="Arial" w:hAnsi="Arial"/>
                <w:sz w:val="22"/>
                <w:szCs w:val="22"/>
              </w:rPr>
            </w:r>
            <w:r w:rsidR="00AE5A9A">
              <w:rPr>
                <w:rFonts w:ascii="Arial" w:hAnsi="Arial"/>
                <w:sz w:val="22"/>
                <w:szCs w:val="22"/>
              </w:rPr>
              <w:fldChar w:fldCharType="separate"/>
            </w:r>
            <w:r w:rsidR="00BF3271">
              <w:rPr>
                <w:rFonts w:ascii="Arial" w:hAnsi="Arial"/>
                <w:sz w:val="22"/>
                <w:szCs w:val="22"/>
              </w:rPr>
              <w:fldChar w:fldCharType="end"/>
            </w:r>
            <w:bookmarkEnd w:id="3"/>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AE5A9A">
              <w:rPr>
                <w:rFonts w:ascii="Arial" w:hAnsi="Arial"/>
                <w:sz w:val="22"/>
                <w:szCs w:val="22"/>
              </w:rPr>
            </w:r>
            <w:r w:rsidR="00AE5A9A">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77777777" w:rsidR="00B347B6" w:rsidRDefault="00B347B6" w:rsidP="009F6CA3">
            <w:pPr>
              <w:rPr>
                <w:sz w:val="22"/>
                <w:szCs w:val="22"/>
              </w:rPr>
            </w:pPr>
            <w:r>
              <w:rPr>
                <w:sz w:val="22"/>
                <w:szCs w:val="22"/>
              </w:rPr>
              <w:t>23. Program Director for State AT Program (last, first)</w:t>
            </w:r>
          </w:p>
        </w:tc>
      </w:tr>
      <w:tr w:rsidR="00B347B6" w14:paraId="6665442D" w14:textId="77777777" w:rsidTr="003E4186">
        <w:tc>
          <w:tcPr>
            <w:tcW w:w="9468" w:type="dxa"/>
            <w:gridSpan w:val="2"/>
            <w:tcBorders>
              <w:left w:val="single" w:sz="12" w:space="0" w:color="auto"/>
              <w:right w:val="single" w:sz="12" w:space="0" w:color="auto"/>
            </w:tcBorders>
          </w:tcPr>
          <w:p w14:paraId="15472BBA" w14:textId="77777777" w:rsidR="00B347B6" w:rsidRDefault="00B347B6" w:rsidP="009F6CA3">
            <w:pPr>
              <w:rPr>
                <w:sz w:val="22"/>
                <w:szCs w:val="22"/>
              </w:rPr>
            </w:pPr>
            <w:r>
              <w:rPr>
                <w:sz w:val="22"/>
                <w:szCs w:val="22"/>
              </w:rPr>
              <w:t>24. Title</w:t>
            </w:r>
          </w:p>
        </w:tc>
      </w:tr>
      <w:tr w:rsidR="00B347B6" w14:paraId="42BFCDD6" w14:textId="77777777" w:rsidTr="003E4186">
        <w:tc>
          <w:tcPr>
            <w:tcW w:w="9468" w:type="dxa"/>
            <w:gridSpan w:val="2"/>
            <w:tcBorders>
              <w:left w:val="single" w:sz="12" w:space="0" w:color="auto"/>
              <w:right w:val="single" w:sz="12" w:space="0" w:color="auto"/>
            </w:tcBorders>
          </w:tcPr>
          <w:p w14:paraId="55F568BC" w14:textId="77777777" w:rsidR="00B347B6" w:rsidRDefault="00B347B6" w:rsidP="009F6CA3">
            <w:pPr>
              <w:rPr>
                <w:sz w:val="22"/>
                <w:szCs w:val="22"/>
              </w:rPr>
            </w:pPr>
            <w:r>
              <w:rPr>
                <w:sz w:val="22"/>
                <w:szCs w:val="22"/>
              </w:rPr>
              <w:t>25. Phone</w:t>
            </w:r>
          </w:p>
        </w:tc>
      </w:tr>
      <w:tr w:rsidR="00B347B6" w14:paraId="1BA095CB" w14:textId="77777777" w:rsidTr="003E4186">
        <w:tc>
          <w:tcPr>
            <w:tcW w:w="9468" w:type="dxa"/>
            <w:gridSpan w:val="2"/>
            <w:tcBorders>
              <w:left w:val="single" w:sz="12" w:space="0" w:color="auto"/>
              <w:right w:val="single" w:sz="12" w:space="0" w:color="auto"/>
            </w:tcBorders>
          </w:tcPr>
          <w:p w14:paraId="534866E7" w14:textId="77777777" w:rsidR="00B347B6" w:rsidRDefault="00B347B6" w:rsidP="009F6CA3">
            <w:pPr>
              <w:rPr>
                <w:sz w:val="22"/>
                <w:szCs w:val="22"/>
              </w:rPr>
            </w:pPr>
            <w:r>
              <w:rPr>
                <w:sz w:val="22"/>
                <w:szCs w:val="22"/>
              </w:rPr>
              <w:t>26. E-mail</w:t>
            </w:r>
          </w:p>
        </w:tc>
      </w:tr>
      <w:tr w:rsidR="00B347B6" w14:paraId="4E3850CC" w14:textId="77777777" w:rsidTr="003E4186">
        <w:tc>
          <w:tcPr>
            <w:tcW w:w="9468" w:type="dxa"/>
            <w:gridSpan w:val="2"/>
            <w:tcBorders>
              <w:left w:val="single" w:sz="12" w:space="0" w:color="auto"/>
              <w:right w:val="single" w:sz="12" w:space="0" w:color="auto"/>
            </w:tcBorders>
          </w:tcPr>
          <w:p w14:paraId="7A9F5978" w14:textId="77777777" w:rsidR="00B347B6" w:rsidRDefault="00B347B6" w:rsidP="009F6CA3">
            <w:pPr>
              <w:rPr>
                <w:sz w:val="22"/>
                <w:szCs w:val="22"/>
              </w:rPr>
            </w:pPr>
            <w:r>
              <w:rPr>
                <w:sz w:val="22"/>
                <w:szCs w:val="22"/>
              </w:rPr>
              <w:t>27. Primary Contact at the Lead Agency (last, first)</w:t>
            </w:r>
          </w:p>
        </w:tc>
      </w:tr>
      <w:tr w:rsidR="00B347B6" w14:paraId="17E978EB" w14:textId="77777777" w:rsidTr="003E4186">
        <w:tc>
          <w:tcPr>
            <w:tcW w:w="9468" w:type="dxa"/>
            <w:gridSpan w:val="2"/>
            <w:tcBorders>
              <w:left w:val="single" w:sz="12" w:space="0" w:color="auto"/>
              <w:right w:val="single" w:sz="12" w:space="0" w:color="auto"/>
            </w:tcBorders>
          </w:tcPr>
          <w:p w14:paraId="618073DB" w14:textId="77777777" w:rsidR="00B347B6" w:rsidRDefault="00B347B6" w:rsidP="009F6CA3">
            <w:pPr>
              <w:rPr>
                <w:sz w:val="22"/>
                <w:szCs w:val="22"/>
              </w:rPr>
            </w:pPr>
            <w:r>
              <w:rPr>
                <w:sz w:val="22"/>
                <w:szCs w:val="22"/>
              </w:rPr>
              <w:t>28. Title</w:t>
            </w:r>
          </w:p>
        </w:tc>
      </w:tr>
      <w:tr w:rsidR="00B347B6" w14:paraId="479CA973" w14:textId="77777777" w:rsidTr="003E4186">
        <w:tc>
          <w:tcPr>
            <w:tcW w:w="9468" w:type="dxa"/>
            <w:gridSpan w:val="2"/>
            <w:tcBorders>
              <w:left w:val="single" w:sz="12" w:space="0" w:color="auto"/>
              <w:right w:val="single" w:sz="12" w:space="0" w:color="auto"/>
            </w:tcBorders>
          </w:tcPr>
          <w:p w14:paraId="72D09979" w14:textId="77777777" w:rsidR="00B347B6" w:rsidRDefault="00B347B6" w:rsidP="009F6CA3">
            <w:pPr>
              <w:rPr>
                <w:sz w:val="22"/>
                <w:szCs w:val="22"/>
              </w:rPr>
            </w:pPr>
            <w:r>
              <w:rPr>
                <w:sz w:val="22"/>
                <w:szCs w:val="22"/>
              </w:rPr>
              <w:t>29. Phone</w:t>
            </w:r>
          </w:p>
        </w:tc>
      </w:tr>
      <w:tr w:rsidR="00B347B6" w14:paraId="635AEF12" w14:textId="77777777" w:rsidTr="003E4186">
        <w:tc>
          <w:tcPr>
            <w:tcW w:w="9468" w:type="dxa"/>
            <w:gridSpan w:val="2"/>
            <w:tcBorders>
              <w:left w:val="single" w:sz="12" w:space="0" w:color="auto"/>
              <w:right w:val="single" w:sz="12" w:space="0" w:color="auto"/>
            </w:tcBorders>
          </w:tcPr>
          <w:p w14:paraId="601D693B" w14:textId="77777777" w:rsidR="00B347B6" w:rsidRDefault="00B347B6" w:rsidP="009F6CA3">
            <w:pPr>
              <w:rPr>
                <w:sz w:val="22"/>
                <w:szCs w:val="22"/>
              </w:rPr>
            </w:pPr>
            <w:r>
              <w:rPr>
                <w:sz w:val="22"/>
                <w:szCs w:val="22"/>
              </w:rPr>
              <w:t>30. E-mail</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lastRenderedPageBreak/>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77777777" w:rsidR="00B347B6" w:rsidRDefault="00B347B6" w:rsidP="009F6CA3">
            <w:pPr>
              <w:rPr>
                <w:sz w:val="22"/>
                <w:szCs w:val="22"/>
              </w:rPr>
            </w:pPr>
            <w:r>
              <w:rPr>
                <w:sz w:val="22"/>
                <w:szCs w:val="22"/>
              </w:rPr>
              <w:t>38. Name (last, first)</w:t>
            </w:r>
          </w:p>
        </w:tc>
      </w:tr>
      <w:tr w:rsidR="00B347B6" w14:paraId="7D402B80" w14:textId="77777777" w:rsidTr="003E4186">
        <w:tc>
          <w:tcPr>
            <w:tcW w:w="9468" w:type="dxa"/>
            <w:gridSpan w:val="2"/>
            <w:tcBorders>
              <w:left w:val="single" w:sz="12" w:space="0" w:color="auto"/>
              <w:right w:val="single" w:sz="12" w:space="0" w:color="auto"/>
            </w:tcBorders>
          </w:tcPr>
          <w:p w14:paraId="13A0072E" w14:textId="77777777" w:rsidR="00B347B6" w:rsidRDefault="00B347B6" w:rsidP="009F6CA3">
            <w:pPr>
              <w:rPr>
                <w:sz w:val="22"/>
                <w:szCs w:val="22"/>
              </w:rPr>
            </w:pPr>
            <w:r>
              <w:rPr>
                <w:sz w:val="22"/>
                <w:szCs w:val="22"/>
              </w:rPr>
              <w:t>39. Title</w:t>
            </w:r>
          </w:p>
        </w:tc>
      </w:tr>
      <w:tr w:rsidR="00B347B6" w14:paraId="08828781" w14:textId="77777777" w:rsidTr="003E4186">
        <w:tc>
          <w:tcPr>
            <w:tcW w:w="9468" w:type="dxa"/>
            <w:gridSpan w:val="2"/>
            <w:tcBorders>
              <w:left w:val="single" w:sz="12" w:space="0" w:color="auto"/>
              <w:right w:val="single" w:sz="12" w:space="0" w:color="auto"/>
            </w:tcBorders>
          </w:tcPr>
          <w:p w14:paraId="21D1CBC2" w14:textId="77777777" w:rsidR="00B347B6" w:rsidRDefault="00B347B6" w:rsidP="009F6CA3">
            <w:pPr>
              <w:rPr>
                <w:sz w:val="22"/>
                <w:szCs w:val="22"/>
              </w:rPr>
            </w:pPr>
            <w:r>
              <w:rPr>
                <w:sz w:val="22"/>
                <w:szCs w:val="22"/>
              </w:rPr>
              <w:t>40. Phone</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77777777" w:rsidR="00B347B6" w:rsidRDefault="00B347B6" w:rsidP="009F6CA3">
            <w:pPr>
              <w:rPr>
                <w:sz w:val="22"/>
                <w:szCs w:val="22"/>
              </w:rPr>
            </w:pPr>
            <w:r>
              <w:rPr>
                <w:sz w:val="22"/>
                <w:szCs w:val="22"/>
              </w:rPr>
              <w:t>41. E-mail</w:t>
            </w:r>
          </w:p>
        </w:tc>
      </w:tr>
    </w:tbl>
    <w:p w14:paraId="6DD71B42" w14:textId="77777777" w:rsidR="00AB4C76" w:rsidRDefault="008B0CF3" w:rsidP="009D3A42">
      <w:pPr>
        <w:pStyle w:val="Heading3"/>
      </w:pPr>
      <w:bookmarkStart w:id="4" w:name="_Toc30492493"/>
      <w:r w:rsidRPr="00CB201A">
        <w:t>Change in Lead Agency or Implementing Entity</w:t>
      </w:r>
      <w:bookmarkEnd w:id="4"/>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5" w:name="_Toc30492494"/>
      <w:r>
        <w:t>Advisory Council, Budget Allocations</w:t>
      </w:r>
      <w:r w:rsidR="007E70AC">
        <w:t xml:space="preserve"> and </w:t>
      </w:r>
      <w:r w:rsidR="00C17A05">
        <w:t xml:space="preserve">Actual </w:t>
      </w:r>
      <w:r w:rsidR="007E70AC">
        <w:t>Expenditures</w:t>
      </w:r>
      <w:r>
        <w:t>, and Identification of Activities Conducted</w:t>
      </w:r>
      <w:bookmarkEnd w:id="5"/>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6" w:name="_Toc30492495"/>
      <w:r w:rsidRPr="00677D31">
        <w:rPr>
          <w:rFonts w:ascii="Verdana" w:hAnsi="Verdana"/>
        </w:rPr>
        <w:t>Advisory Council</w:t>
      </w:r>
      <w:bookmarkEnd w:id="6"/>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321A568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377739E3"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73F48B0F"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0787B73D" w14:textId="77777777"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77777777" w:rsidR="00AB4C76" w:rsidRDefault="00742F7A">
      <w:pPr>
        <w:ind w:left="360"/>
        <w:rPr>
          <w:u w:val="single"/>
        </w:rPr>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024FDF6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Pr="00BF3271">
        <w:rPr>
          <w:rFonts w:ascii="Verdana" w:hAnsi="Verdana"/>
          <w:sz w:val="18"/>
          <w:szCs w:val="18"/>
        </w:rPr>
        <w:tab/>
      </w:r>
    </w:p>
    <w:p w14:paraId="2CE8C9AB" w14:textId="28E10398"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Pr="00BF3271">
        <w:rPr>
          <w:rFonts w:ascii="Verdana" w:hAnsi="Verdana"/>
          <w:sz w:val="18"/>
          <w:szCs w:val="18"/>
        </w:rPr>
        <w:tab/>
      </w:r>
    </w:p>
    <w:p w14:paraId="798D8254" w14:textId="4DE7A2EF"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 </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w:t>
      </w:r>
      <w:r>
        <w:lastRenderedPageBreak/>
        <w:t xml:space="preserve">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7" w:name="_Toc30492496"/>
      <w:r w:rsidRPr="009D3A42">
        <w:t>Actual</w:t>
      </w:r>
      <w:r w:rsidRPr="00677D31">
        <w:t xml:space="preserve"> Expenditures</w:t>
      </w:r>
      <w:r w:rsidR="00CD223D">
        <w:t xml:space="preserve"> and Budgeted Allocations</w:t>
      </w:r>
      <w:bookmarkEnd w:id="7"/>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77777777" w:rsidR="00CD223D" w:rsidRDefault="00CD223D" w:rsidP="00DF4CDB">
            <w:pPr>
              <w:rPr>
                <w:rFonts w:ascii="Verdana" w:hAnsi="Verdana"/>
                <w:b/>
                <w:bCs/>
                <w:sz w:val="18"/>
                <w:szCs w:val="18"/>
              </w:rPr>
            </w:pPr>
            <w:r>
              <w:rPr>
                <w:rFonts w:ascii="Verdana" w:hAnsi="Verdana"/>
                <w:b/>
                <w:bCs/>
                <w:sz w:val="18"/>
                <w:szCs w:val="18"/>
              </w:rPr>
              <w:t>$</w:t>
            </w:r>
          </w:p>
        </w:tc>
        <w:tc>
          <w:tcPr>
            <w:tcW w:w="2700" w:type="dxa"/>
          </w:tcPr>
          <w:p w14:paraId="58DCEE9A" w14:textId="77777777" w:rsidR="00CD223D" w:rsidRDefault="00CD223D" w:rsidP="00DF4CDB">
            <w:pPr>
              <w:rPr>
                <w:rFonts w:ascii="Verdana" w:hAnsi="Verdana"/>
                <w:b/>
                <w:bCs/>
                <w:sz w:val="18"/>
                <w:szCs w:val="18"/>
              </w:rPr>
            </w:pPr>
            <w:r>
              <w:rPr>
                <w:rFonts w:ascii="Verdana" w:hAnsi="Verdana"/>
                <w:b/>
                <w:bCs/>
                <w:sz w:val="18"/>
                <w:szCs w:val="18"/>
              </w:rPr>
              <w:t>A/E calculate</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77777777" w:rsidR="00CD223D" w:rsidRDefault="00CD223D" w:rsidP="00DF4CDB">
            <w:pPr>
              <w:rPr>
                <w:rFonts w:ascii="Verdana" w:hAnsi="Verdana"/>
                <w:b/>
                <w:bCs/>
                <w:sz w:val="18"/>
                <w:szCs w:val="18"/>
              </w:rPr>
            </w:pPr>
            <w:r>
              <w:rPr>
                <w:rFonts w:ascii="Verdana" w:hAnsi="Verdana"/>
                <w:b/>
                <w:bCs/>
                <w:sz w:val="18"/>
                <w:szCs w:val="18"/>
              </w:rPr>
              <w:t>$</w:t>
            </w:r>
          </w:p>
        </w:tc>
        <w:tc>
          <w:tcPr>
            <w:tcW w:w="2700" w:type="dxa"/>
          </w:tcPr>
          <w:p w14:paraId="5F71CB9D" w14:textId="77777777" w:rsidR="00CD223D" w:rsidRDefault="00CD223D" w:rsidP="00705EF5">
            <w:pPr>
              <w:rPr>
                <w:rFonts w:ascii="Verdana" w:hAnsi="Verdana"/>
                <w:b/>
                <w:bCs/>
                <w:sz w:val="18"/>
                <w:szCs w:val="18"/>
              </w:rPr>
            </w:pPr>
            <w:r>
              <w:rPr>
                <w:rFonts w:ascii="Verdana" w:hAnsi="Verdana"/>
                <w:b/>
                <w:bCs/>
                <w:sz w:val="18"/>
                <w:szCs w:val="18"/>
              </w:rPr>
              <w:t xml:space="preserve">B/E </w:t>
            </w:r>
            <w:r w:rsidR="00705EF5">
              <w:rPr>
                <w:rFonts w:ascii="Verdana" w:hAnsi="Verdana"/>
                <w:b/>
                <w:bCs/>
                <w:sz w:val="18"/>
                <w:szCs w:val="18"/>
              </w:rPr>
              <w:t>calculate –less than 40/30% required</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77777777" w:rsidR="00CD223D" w:rsidRDefault="00CD223D" w:rsidP="00DF4CDB">
            <w:pPr>
              <w:rPr>
                <w:rFonts w:ascii="Verdana" w:hAnsi="Verdana"/>
                <w:b/>
                <w:bCs/>
                <w:sz w:val="18"/>
                <w:szCs w:val="18"/>
              </w:rPr>
            </w:pPr>
            <w:r>
              <w:rPr>
                <w:rFonts w:ascii="Verdana" w:hAnsi="Verdana"/>
                <w:b/>
                <w:bCs/>
                <w:sz w:val="18"/>
                <w:szCs w:val="18"/>
              </w:rPr>
              <w:t>$</w:t>
            </w:r>
          </w:p>
        </w:tc>
        <w:tc>
          <w:tcPr>
            <w:tcW w:w="2700" w:type="dxa"/>
          </w:tcPr>
          <w:p w14:paraId="47E3A3E6" w14:textId="77777777" w:rsidR="00CD223D" w:rsidRPr="00B44B88" w:rsidRDefault="00CD223D" w:rsidP="00DF4CDB">
            <w:pPr>
              <w:rPr>
                <w:rFonts w:ascii="Verdana" w:hAnsi="Verdana"/>
                <w:b/>
                <w:bCs/>
                <w:sz w:val="18"/>
                <w:szCs w:val="18"/>
              </w:rPr>
            </w:pPr>
            <w:r>
              <w:rPr>
                <w:rFonts w:ascii="Verdana" w:hAnsi="Verdana"/>
                <w:b/>
                <w:bCs/>
                <w:sz w:val="18"/>
                <w:szCs w:val="18"/>
              </w:rPr>
              <w:t>C/B calculate -</w:t>
            </w:r>
          </w:p>
          <w:p w14:paraId="031378D0"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77777777" w:rsidR="00CD223D" w:rsidRDefault="00CD223D" w:rsidP="00DF4CDB">
            <w:pPr>
              <w:rPr>
                <w:rFonts w:ascii="Verdana" w:hAnsi="Verdana"/>
                <w:b/>
                <w:bCs/>
                <w:sz w:val="18"/>
                <w:szCs w:val="18"/>
              </w:rPr>
            </w:pPr>
            <w:r>
              <w:rPr>
                <w:rFonts w:ascii="Verdana" w:hAnsi="Verdana"/>
                <w:b/>
                <w:bCs/>
                <w:sz w:val="18"/>
                <w:szCs w:val="18"/>
              </w:rPr>
              <w:t>$</w:t>
            </w:r>
          </w:p>
        </w:tc>
        <w:tc>
          <w:tcPr>
            <w:tcW w:w="2700" w:type="dxa"/>
          </w:tcPr>
          <w:p w14:paraId="570AC7B3" w14:textId="77777777" w:rsidR="00CD223D" w:rsidRDefault="00CD223D" w:rsidP="00DF4CDB">
            <w:pPr>
              <w:rPr>
                <w:rFonts w:ascii="Verdana" w:hAnsi="Verdana"/>
                <w:b/>
                <w:bCs/>
                <w:sz w:val="18"/>
                <w:szCs w:val="18"/>
              </w:rPr>
            </w:pPr>
            <w:r>
              <w:rPr>
                <w:rFonts w:ascii="Verdana" w:hAnsi="Verdana"/>
                <w:b/>
                <w:bCs/>
                <w:sz w:val="18"/>
                <w:szCs w:val="18"/>
              </w:rPr>
              <w:t>D/E calculate</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77777777" w:rsidR="00CD223D" w:rsidRPr="00705EF5" w:rsidRDefault="00CD223D" w:rsidP="00705EF5">
            <w:pPr>
              <w:rPr>
                <w:rFonts w:ascii="Verdana" w:hAnsi="Verdana"/>
                <w:b/>
                <w:bCs/>
                <w:sz w:val="18"/>
                <w:szCs w:val="18"/>
              </w:rPr>
            </w:pPr>
            <w:r w:rsidRPr="00705EF5">
              <w:rPr>
                <w:rFonts w:ascii="Verdana" w:hAnsi="Verdana"/>
                <w:b/>
                <w:bCs/>
                <w:sz w:val="18"/>
                <w:szCs w:val="18"/>
              </w:rPr>
              <w:t>$</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77777777" w:rsidR="00CD223D" w:rsidRDefault="00CD223D" w:rsidP="00DF4CDB">
            <w:pPr>
              <w:rPr>
                <w:rFonts w:ascii="Verdana" w:hAnsi="Verdana"/>
                <w:b/>
                <w:bCs/>
                <w:sz w:val="18"/>
                <w:szCs w:val="18"/>
              </w:rPr>
            </w:pPr>
            <w:r>
              <w:rPr>
                <w:rFonts w:ascii="Verdana" w:hAnsi="Verdana"/>
                <w:b/>
                <w:bCs/>
                <w:sz w:val="18"/>
                <w:szCs w:val="18"/>
              </w:rPr>
              <w:t>$ [E-D] calculate</w:t>
            </w:r>
          </w:p>
        </w:tc>
        <w:tc>
          <w:tcPr>
            <w:tcW w:w="2700" w:type="dxa"/>
          </w:tcPr>
          <w:p w14:paraId="3CB2B01B" w14:textId="77777777" w:rsidR="00CD223D" w:rsidRDefault="00CD223D" w:rsidP="00DF4CDB">
            <w:pPr>
              <w:rPr>
                <w:rFonts w:ascii="Verdana" w:hAnsi="Verdana"/>
                <w:b/>
                <w:bCs/>
                <w:sz w:val="18"/>
                <w:szCs w:val="18"/>
              </w:rPr>
            </w:pPr>
            <w:r>
              <w:rPr>
                <w:rFonts w:ascii="Verdana" w:hAnsi="Verdana"/>
                <w:b/>
                <w:bCs/>
                <w:sz w:val="18"/>
                <w:szCs w:val="18"/>
              </w:rPr>
              <w:t xml:space="preserve">F/E calculate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w:t>
      </w:r>
      <w:r>
        <w:lastRenderedPageBreak/>
        <w:t xml:space="preserve">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49FECF54"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4F64AFCB"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64B8D643"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5AA766B8"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631C85C5"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844CA1B"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35E2BB2C"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56334A32"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08B23762" w14:textId="77777777" w:rsidR="005A44B1" w:rsidRDefault="005A44B1" w:rsidP="00DF4CDB">
            <w:pPr>
              <w:rPr>
                <w:rFonts w:ascii="Verdana" w:hAnsi="Verdana"/>
                <w:b/>
                <w:bCs/>
                <w:sz w:val="18"/>
                <w:szCs w:val="18"/>
              </w:rPr>
            </w:pPr>
            <w:r>
              <w:rPr>
                <w:rFonts w:ascii="Verdana" w:hAnsi="Verdana"/>
                <w:b/>
                <w:bCs/>
                <w:sz w:val="18"/>
                <w:szCs w:val="18"/>
              </w:rPr>
              <w:t>$</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5FCE9EAC"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14AA1E14"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D50A6D4" w14:textId="77777777" w:rsidR="005A44B1" w:rsidRPr="00993E5F" w:rsidRDefault="00993E5F" w:rsidP="00993E5F">
            <w:pPr>
              <w:jc w:val="center"/>
              <w:rPr>
                <w:rFonts w:ascii="Verdana" w:hAnsi="Verdana"/>
                <w:bCs/>
                <w:sz w:val="16"/>
                <w:szCs w:val="16"/>
              </w:rPr>
            </w:pPr>
            <w:r w:rsidRPr="00993E5F">
              <w:rPr>
                <w:rFonts w:ascii="Verdana" w:hAnsi="Verdana"/>
                <w:bCs/>
                <w:sz w:val="16"/>
                <w:szCs w:val="16"/>
              </w:rPr>
              <w:t xml:space="preserve">Must </w:t>
            </w:r>
            <w:r>
              <w:rPr>
                <w:rFonts w:ascii="Verdana" w:hAnsi="Verdana"/>
                <w:bCs/>
                <w:sz w:val="16"/>
                <w:szCs w:val="16"/>
              </w:rPr>
              <w:t xml:space="preserve">equal </w:t>
            </w:r>
            <w:r w:rsidRPr="00993E5F">
              <w:rPr>
                <w:rFonts w:ascii="Verdana" w:hAnsi="Verdana"/>
                <w:bCs/>
                <w:sz w:val="16"/>
                <w:szCs w:val="16"/>
              </w:rPr>
              <w:t>total award</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8" w:name="_Toc30492497"/>
      <w:r w:rsidRPr="002657F6">
        <w:rPr>
          <w:rFonts w:ascii="Verdana" w:hAnsi="Verdana"/>
        </w:rPr>
        <w:t xml:space="preserve">Activities </w:t>
      </w:r>
      <w:r w:rsidR="002657F6">
        <w:rPr>
          <w:rFonts w:ascii="Verdana" w:hAnsi="Verdana"/>
        </w:rPr>
        <w:t>Conducted</w:t>
      </w:r>
      <w:bookmarkEnd w:id="8"/>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77777777" w:rsidR="00D01FD8" w:rsidRPr="007F6B73" w:rsidRDefault="00D01FD8" w:rsidP="00D01FD8">
            <w:pPr>
              <w:jc w:val="center"/>
              <w:rPr>
                <w:rFonts w:ascii="Verdana" w:hAnsi="Verdana"/>
                <w:bCs/>
                <w:sz w:val="18"/>
                <w:szCs w:val="18"/>
              </w:rPr>
            </w:pPr>
            <w:r w:rsidRPr="007F6B73">
              <w:rPr>
                <w:rFonts w:ascii="Verdana" w:hAnsi="Verdana"/>
                <w:bCs/>
                <w:sz w:val="18"/>
                <w:szCs w:val="18"/>
              </w:rPr>
              <w:t>Yes/No</w:t>
            </w:r>
          </w:p>
        </w:tc>
        <w:tc>
          <w:tcPr>
            <w:tcW w:w="558" w:type="pct"/>
          </w:tcPr>
          <w:p w14:paraId="1BC82C10" w14:textId="77777777" w:rsidR="00D01FD8" w:rsidRDefault="00D01FD8" w:rsidP="00D01FD8">
            <w:pPr>
              <w:rPr>
                <w:rFonts w:ascii="Verdana" w:hAnsi="Verdana"/>
                <w:b/>
                <w:bCs/>
                <w:sz w:val="18"/>
                <w:szCs w:val="18"/>
              </w:rPr>
            </w:pP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77777777" w:rsidR="00D01FD8" w:rsidRDefault="00D01FD8" w:rsidP="00D01FD8">
            <w:pPr>
              <w:rPr>
                <w:rFonts w:ascii="Verdana" w:hAnsi="Verdana"/>
                <w:b/>
                <w:bCs/>
                <w:sz w:val="18"/>
                <w:szCs w:val="18"/>
              </w:rPr>
            </w:pP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77777777" w:rsidR="00D01FD8" w:rsidRDefault="00D01FD8" w:rsidP="00D01FD8">
            <w:pPr>
              <w:rPr>
                <w:rFonts w:ascii="Verdana" w:hAnsi="Verdana"/>
                <w:b/>
                <w:bCs/>
                <w:sz w:val="18"/>
                <w:szCs w:val="18"/>
              </w:rPr>
            </w:pP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77777777" w:rsidR="00EA3BEA" w:rsidRPr="007F6B73" w:rsidRDefault="00EA3BEA" w:rsidP="00A02B19">
            <w:pPr>
              <w:jc w:val="center"/>
            </w:pPr>
            <w:r w:rsidRPr="007F6B73">
              <w:rPr>
                <w:rFonts w:ascii="Verdana" w:hAnsi="Verdana"/>
                <w:bCs/>
                <w:sz w:val="18"/>
                <w:szCs w:val="18"/>
              </w:rPr>
              <w:t>Yes/No</w:t>
            </w: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77777777" w:rsidR="00EA3BEA" w:rsidRPr="007F6B73" w:rsidRDefault="00EA3BEA" w:rsidP="00A02B19">
            <w:pPr>
              <w:jc w:val="center"/>
            </w:pPr>
            <w:r w:rsidRPr="007F6B73">
              <w:rPr>
                <w:rFonts w:ascii="Verdana" w:hAnsi="Verdana"/>
                <w:bCs/>
                <w:sz w:val="18"/>
                <w:szCs w:val="18"/>
              </w:rPr>
              <w:t>Yes/No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77777777" w:rsidR="00EA3BEA" w:rsidRPr="007F6B73" w:rsidRDefault="00EA3BEA" w:rsidP="00A02B19">
            <w:pPr>
              <w:jc w:val="center"/>
            </w:pPr>
            <w:r w:rsidRPr="007F6B73">
              <w:rPr>
                <w:rFonts w:ascii="Verdana" w:hAnsi="Verdana"/>
                <w:bCs/>
                <w:sz w:val="18"/>
                <w:szCs w:val="18"/>
              </w:rPr>
              <w:t>Yes/No</w:t>
            </w:r>
          </w:p>
        </w:tc>
        <w:tc>
          <w:tcPr>
            <w:tcW w:w="558" w:type="pct"/>
          </w:tcPr>
          <w:p w14:paraId="56DBC72F" w14:textId="77777777" w:rsidR="00EA3BEA" w:rsidRPr="0013018C" w:rsidRDefault="00EA3BEA" w:rsidP="00A02B19">
            <w:pPr>
              <w:rPr>
                <w:rFonts w:ascii="Verdana" w:hAnsi="Verdana"/>
                <w:b/>
                <w:bCs/>
                <w:sz w:val="18"/>
                <w:szCs w:val="18"/>
              </w:rPr>
            </w:pP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77777777" w:rsidR="00EA3BEA" w:rsidRPr="0013018C" w:rsidRDefault="00EA3BEA" w:rsidP="00A02B19">
            <w:pPr>
              <w:rPr>
                <w:rFonts w:ascii="Verdana" w:hAnsi="Verdana"/>
                <w:b/>
                <w:bCs/>
                <w:sz w:val="18"/>
                <w:szCs w:val="18"/>
              </w:rPr>
            </w:pP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77777777" w:rsidR="00EA3BEA" w:rsidRPr="0013018C" w:rsidRDefault="00EA3BEA" w:rsidP="00A02B19">
            <w:pPr>
              <w:rPr>
                <w:rFonts w:ascii="Verdana" w:hAnsi="Verdana"/>
                <w:b/>
                <w:bCs/>
                <w:sz w:val="18"/>
                <w:szCs w:val="18"/>
              </w:rPr>
            </w:pP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77777777" w:rsidR="00EA3BEA" w:rsidRPr="007F6B73" w:rsidRDefault="00EA3BEA" w:rsidP="00A02B19">
            <w:pPr>
              <w:jc w:val="center"/>
            </w:pPr>
            <w:r w:rsidRPr="007F6B73">
              <w:rPr>
                <w:rFonts w:ascii="Verdana" w:hAnsi="Verdana"/>
                <w:bCs/>
                <w:sz w:val="18"/>
                <w:szCs w:val="18"/>
              </w:rPr>
              <w:t>Yes/No</w:t>
            </w:r>
          </w:p>
        </w:tc>
        <w:tc>
          <w:tcPr>
            <w:tcW w:w="558" w:type="pct"/>
          </w:tcPr>
          <w:p w14:paraId="7E432881" w14:textId="77777777" w:rsidR="00EA3BEA" w:rsidRPr="0013018C" w:rsidRDefault="00EA3BEA" w:rsidP="00A02B19">
            <w:pPr>
              <w:rPr>
                <w:rFonts w:ascii="Verdana" w:hAnsi="Verdana"/>
                <w:b/>
                <w:bCs/>
                <w:sz w:val="18"/>
                <w:szCs w:val="18"/>
              </w:rPr>
            </w:pP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51444BC8" w14:textId="77777777" w:rsidR="00EA3BEA" w:rsidRPr="0013018C" w:rsidRDefault="00EA3BEA" w:rsidP="00A02B19">
            <w:pPr>
              <w:rPr>
                <w:rFonts w:ascii="Verdana" w:hAnsi="Verdana"/>
                <w:b/>
                <w:bCs/>
                <w:sz w:val="18"/>
                <w:szCs w:val="18"/>
              </w:rPr>
            </w:pPr>
          </w:p>
        </w:tc>
        <w:tc>
          <w:tcPr>
            <w:tcW w:w="558" w:type="pct"/>
          </w:tcPr>
          <w:p w14:paraId="441C1E15" w14:textId="77777777" w:rsidR="00EA3BEA" w:rsidRPr="0013018C" w:rsidRDefault="00EA3BEA" w:rsidP="00A02B19">
            <w:pPr>
              <w:rPr>
                <w:rFonts w:ascii="Verdana" w:hAnsi="Verdana"/>
                <w:b/>
                <w:bCs/>
                <w:sz w:val="18"/>
                <w:szCs w:val="18"/>
              </w:rPr>
            </w:pPr>
          </w:p>
        </w:tc>
        <w:tc>
          <w:tcPr>
            <w:tcW w:w="558" w:type="pct"/>
          </w:tcPr>
          <w:p w14:paraId="05BAF116" w14:textId="77777777" w:rsidR="00EA3BEA" w:rsidRPr="0013018C" w:rsidRDefault="00EA3BEA" w:rsidP="00A02B19">
            <w:pPr>
              <w:rPr>
                <w:rFonts w:ascii="Verdana" w:hAnsi="Verdana"/>
                <w:b/>
                <w:bCs/>
                <w:sz w:val="18"/>
                <w:szCs w:val="18"/>
              </w:rPr>
            </w:pPr>
          </w:p>
        </w:tc>
        <w:tc>
          <w:tcPr>
            <w:tcW w:w="559" w:type="pct"/>
          </w:tcPr>
          <w:p w14:paraId="6FBF8A38" w14:textId="77777777" w:rsidR="00EA3BEA" w:rsidRPr="0013018C" w:rsidRDefault="00EA3BEA" w:rsidP="00A02B19">
            <w:pPr>
              <w:rPr>
                <w:rFonts w:ascii="Verdana" w:hAnsi="Verdana"/>
                <w:b/>
                <w:bCs/>
                <w:sz w:val="18"/>
                <w:szCs w:val="18"/>
              </w:rPr>
            </w:pPr>
          </w:p>
        </w:tc>
        <w:tc>
          <w:tcPr>
            <w:tcW w:w="446" w:type="pct"/>
          </w:tcPr>
          <w:p w14:paraId="22266D26" w14:textId="77777777" w:rsidR="00EA3BEA" w:rsidRPr="0013018C" w:rsidRDefault="00EA3BEA" w:rsidP="00A02B19">
            <w:pPr>
              <w:rPr>
                <w:rFonts w:ascii="Verdana" w:hAnsi="Verdana"/>
                <w:b/>
                <w:bCs/>
                <w:sz w:val="18"/>
                <w:szCs w:val="18"/>
              </w:rPr>
            </w:pP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77777777" w:rsidR="00EA3BEA" w:rsidRPr="007F6B73" w:rsidRDefault="00EA3BEA" w:rsidP="00A02B19">
            <w:pPr>
              <w:jc w:val="center"/>
            </w:pPr>
            <w:r w:rsidRPr="007F6B73">
              <w:rPr>
                <w:rFonts w:ascii="Verdana" w:hAnsi="Verdana"/>
                <w:bCs/>
                <w:sz w:val="18"/>
                <w:szCs w:val="18"/>
              </w:rPr>
              <w:t>Yes/No</w:t>
            </w:r>
          </w:p>
        </w:tc>
        <w:tc>
          <w:tcPr>
            <w:tcW w:w="558" w:type="pct"/>
          </w:tcPr>
          <w:p w14:paraId="726D48E7" w14:textId="77777777" w:rsidR="00EA3BEA" w:rsidRPr="0013018C" w:rsidRDefault="00EA3BEA" w:rsidP="00A02B19">
            <w:pPr>
              <w:rPr>
                <w:rFonts w:ascii="Verdana" w:hAnsi="Verdana"/>
                <w:b/>
                <w:bCs/>
                <w:sz w:val="18"/>
                <w:szCs w:val="18"/>
              </w:rPr>
            </w:pP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77777777" w:rsidR="00EA3BEA" w:rsidRPr="0013018C" w:rsidRDefault="00EA3BEA" w:rsidP="00A02B19">
            <w:pPr>
              <w:rPr>
                <w:rFonts w:ascii="Verdana" w:hAnsi="Verdana"/>
                <w:b/>
                <w:bCs/>
                <w:sz w:val="18"/>
                <w:szCs w:val="18"/>
              </w:rPr>
            </w:pPr>
          </w:p>
        </w:tc>
        <w:tc>
          <w:tcPr>
            <w:tcW w:w="558" w:type="pct"/>
          </w:tcPr>
          <w:p w14:paraId="56DF4DD4" w14:textId="77777777" w:rsidR="00EA3BEA" w:rsidRPr="0013018C" w:rsidRDefault="00EA3BEA" w:rsidP="00A02B19">
            <w:pPr>
              <w:rPr>
                <w:rFonts w:ascii="Verdana" w:hAnsi="Verdana"/>
                <w:b/>
                <w:bCs/>
                <w:sz w:val="18"/>
                <w:szCs w:val="18"/>
              </w:rPr>
            </w:pPr>
          </w:p>
        </w:tc>
        <w:tc>
          <w:tcPr>
            <w:tcW w:w="558" w:type="pct"/>
          </w:tcPr>
          <w:p w14:paraId="4FB99EE6" w14:textId="77777777" w:rsidR="00EA3BEA" w:rsidRPr="0013018C" w:rsidRDefault="00EA3BEA" w:rsidP="00A02B19">
            <w:pPr>
              <w:rPr>
                <w:rFonts w:ascii="Verdana" w:hAnsi="Verdana"/>
                <w:b/>
                <w:bCs/>
                <w:sz w:val="18"/>
                <w:szCs w:val="18"/>
              </w:rPr>
            </w:pPr>
          </w:p>
        </w:tc>
        <w:tc>
          <w:tcPr>
            <w:tcW w:w="559" w:type="pct"/>
          </w:tcPr>
          <w:p w14:paraId="1F11B213" w14:textId="77777777" w:rsidR="00EA3BEA" w:rsidRPr="0013018C" w:rsidRDefault="00EA3BEA" w:rsidP="00A02B19">
            <w:pPr>
              <w:rPr>
                <w:rFonts w:ascii="Verdana" w:hAnsi="Verdana"/>
                <w:b/>
                <w:bCs/>
                <w:sz w:val="18"/>
                <w:szCs w:val="18"/>
              </w:rPr>
            </w:pPr>
          </w:p>
        </w:tc>
        <w:tc>
          <w:tcPr>
            <w:tcW w:w="446" w:type="pct"/>
          </w:tcPr>
          <w:p w14:paraId="04E9588D" w14:textId="77777777" w:rsidR="00EA3BEA" w:rsidRPr="0013018C" w:rsidRDefault="00EA3BEA" w:rsidP="00A02B19">
            <w:pPr>
              <w:rPr>
                <w:rFonts w:ascii="Verdana" w:hAnsi="Verdana"/>
                <w:b/>
                <w:bCs/>
                <w:sz w:val="18"/>
                <w:szCs w:val="18"/>
              </w:rPr>
            </w:pP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Device demonstra</w:t>
            </w:r>
            <w:r w:rsidR="00D3603B">
              <w:rPr>
                <w:rFonts w:ascii="Verdana" w:hAnsi="Verdana"/>
                <w:b/>
                <w:bCs/>
                <w:sz w:val="18"/>
                <w:szCs w:val="18"/>
              </w:rPr>
              <w:t>-</w:t>
            </w:r>
            <w:r>
              <w:rPr>
                <w:rFonts w:ascii="Verdana" w:hAnsi="Verdana"/>
                <w:b/>
                <w:bCs/>
                <w:sz w:val="18"/>
                <w:szCs w:val="18"/>
              </w:rPr>
              <w:t xml:space="preserve">tion </w:t>
            </w:r>
          </w:p>
        </w:tc>
        <w:tc>
          <w:tcPr>
            <w:tcW w:w="578" w:type="pct"/>
          </w:tcPr>
          <w:p w14:paraId="5F18EFF4" w14:textId="77777777" w:rsidR="00EA3BEA" w:rsidRPr="00B603EA" w:rsidRDefault="00EA3BEA" w:rsidP="00A02B19">
            <w:pPr>
              <w:jc w:val="center"/>
            </w:pPr>
            <w:r w:rsidRPr="00B603EA">
              <w:rPr>
                <w:rFonts w:ascii="Verdana" w:hAnsi="Verdana"/>
                <w:bCs/>
                <w:sz w:val="18"/>
                <w:szCs w:val="18"/>
              </w:rPr>
              <w:t>Yes/No</w:t>
            </w:r>
          </w:p>
        </w:tc>
        <w:tc>
          <w:tcPr>
            <w:tcW w:w="558" w:type="pct"/>
          </w:tcPr>
          <w:p w14:paraId="5ABA5B26" w14:textId="77777777" w:rsidR="00EA3BEA" w:rsidRPr="0013018C" w:rsidRDefault="00EA3BEA" w:rsidP="00A02B19">
            <w:pPr>
              <w:rPr>
                <w:rFonts w:ascii="Verdana" w:hAnsi="Verdana"/>
                <w:b/>
                <w:bCs/>
                <w:sz w:val="18"/>
                <w:szCs w:val="18"/>
              </w:rPr>
            </w:pP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77777777" w:rsidR="00EA3BEA" w:rsidRPr="0013018C" w:rsidRDefault="00EA3BEA" w:rsidP="00A02B19">
            <w:pPr>
              <w:rPr>
                <w:rFonts w:ascii="Verdana" w:hAnsi="Verdana"/>
                <w:b/>
                <w:bCs/>
                <w:sz w:val="18"/>
                <w:szCs w:val="18"/>
              </w:rPr>
            </w:pPr>
          </w:p>
        </w:tc>
        <w:tc>
          <w:tcPr>
            <w:tcW w:w="558" w:type="pct"/>
          </w:tcPr>
          <w:p w14:paraId="2645974D" w14:textId="77777777" w:rsidR="00EA3BEA" w:rsidRPr="0013018C" w:rsidRDefault="00EA3BEA" w:rsidP="00A02B19">
            <w:pPr>
              <w:rPr>
                <w:rFonts w:ascii="Verdana" w:hAnsi="Verdana"/>
                <w:b/>
                <w:bCs/>
                <w:sz w:val="18"/>
                <w:szCs w:val="18"/>
              </w:rPr>
            </w:pPr>
          </w:p>
        </w:tc>
        <w:tc>
          <w:tcPr>
            <w:tcW w:w="558" w:type="pct"/>
          </w:tcPr>
          <w:p w14:paraId="56CA233D" w14:textId="77777777" w:rsidR="00EA3BEA" w:rsidRPr="0013018C" w:rsidRDefault="00EA3BEA" w:rsidP="00A02B19">
            <w:pPr>
              <w:rPr>
                <w:rFonts w:ascii="Verdana" w:hAnsi="Verdana"/>
                <w:b/>
                <w:bCs/>
                <w:sz w:val="18"/>
                <w:szCs w:val="18"/>
              </w:rPr>
            </w:pPr>
          </w:p>
        </w:tc>
        <w:tc>
          <w:tcPr>
            <w:tcW w:w="559" w:type="pct"/>
          </w:tcPr>
          <w:p w14:paraId="23B6B2D4" w14:textId="77777777" w:rsidR="00EA3BEA" w:rsidRPr="0013018C" w:rsidRDefault="00EA3BEA" w:rsidP="00A02B19">
            <w:pPr>
              <w:rPr>
                <w:rFonts w:ascii="Verdana" w:hAnsi="Verdana"/>
                <w:b/>
                <w:bCs/>
                <w:sz w:val="18"/>
                <w:szCs w:val="18"/>
              </w:rPr>
            </w:pPr>
          </w:p>
        </w:tc>
        <w:tc>
          <w:tcPr>
            <w:tcW w:w="446" w:type="pct"/>
          </w:tcPr>
          <w:p w14:paraId="32F7366C" w14:textId="77777777" w:rsidR="00EA3BEA" w:rsidRPr="0013018C" w:rsidRDefault="00EA3BEA" w:rsidP="00A02B19">
            <w:pPr>
              <w:rPr>
                <w:rFonts w:ascii="Verdana" w:hAnsi="Verdana"/>
                <w:b/>
                <w:bCs/>
                <w:sz w:val="18"/>
                <w:szCs w:val="18"/>
              </w:rPr>
            </w:pPr>
          </w:p>
        </w:tc>
      </w:tr>
    </w:tbl>
    <w:p w14:paraId="1581AEB9" w14:textId="77777777" w:rsidR="0001209E" w:rsidRPr="00D243EB" w:rsidRDefault="001A60D9" w:rsidP="00FA1D47">
      <w:pPr>
        <w:spacing w:before="120"/>
        <w:ind w:left="480"/>
      </w:pPr>
      <w:r>
        <w:lastRenderedPageBreak/>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w:t>
      </w:r>
      <w:r>
        <w:lastRenderedPageBreak/>
        <w:t xml:space="preserve">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77777777" w:rsidR="00264094" w:rsidRPr="00DF4CDB" w:rsidRDefault="00264094" w:rsidP="00264094">
            <w:pPr>
              <w:rPr>
                <w:rFonts w:ascii="Verdana" w:hAnsi="Verdana"/>
                <w:bCs/>
                <w:sz w:val="18"/>
                <w:szCs w:val="18"/>
              </w:rPr>
            </w:pP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77777777" w:rsidR="00FA1D47" w:rsidRPr="00DF4CDB" w:rsidRDefault="00FA1D47" w:rsidP="00FA1D47">
            <w:pPr>
              <w:rPr>
                <w:rFonts w:ascii="Verdana" w:hAnsi="Verdana"/>
                <w:bCs/>
                <w:sz w:val="18"/>
                <w:szCs w:val="18"/>
              </w:rPr>
            </w:pP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77777777" w:rsidR="00FA1D47" w:rsidRPr="00DF4CDB" w:rsidRDefault="00FA1D47" w:rsidP="00FA1D47">
            <w:pPr>
              <w:rPr>
                <w:rFonts w:ascii="Verdana" w:hAnsi="Verdana"/>
                <w:bCs/>
                <w:sz w:val="18"/>
                <w:szCs w:val="18"/>
              </w:rPr>
            </w:pP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77777777" w:rsidR="00B06C58" w:rsidRPr="00DF4CDB" w:rsidRDefault="00B06C58" w:rsidP="00B06C58">
            <w:pPr>
              <w:rPr>
                <w:rFonts w:ascii="Verdana" w:hAnsi="Verdana"/>
                <w:bCs/>
                <w:sz w:val="18"/>
                <w:szCs w:val="18"/>
              </w:rPr>
            </w:pP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77777777" w:rsidR="00FA1D47" w:rsidRPr="00DF4CDB" w:rsidRDefault="00FA1D47" w:rsidP="00FA1D47">
            <w:pPr>
              <w:rPr>
                <w:rFonts w:ascii="Verdana" w:hAnsi="Verdana"/>
                <w:bCs/>
                <w:sz w:val="18"/>
                <w:szCs w:val="18"/>
              </w:rPr>
            </w:pP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77777777" w:rsidR="00B06C58" w:rsidRPr="00DF4CDB" w:rsidRDefault="00B06C58" w:rsidP="00B06C58">
            <w:pPr>
              <w:rPr>
                <w:rFonts w:ascii="Verdana" w:hAnsi="Verdana"/>
                <w:bCs/>
                <w:sz w:val="18"/>
                <w:szCs w:val="18"/>
              </w:rPr>
            </w:pP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77777777" w:rsidR="00B06C58" w:rsidRPr="00DF4CDB" w:rsidRDefault="00B06C58" w:rsidP="00B06C58">
            <w:pPr>
              <w:rPr>
                <w:rFonts w:ascii="Verdana" w:hAnsi="Verdana"/>
                <w:bCs/>
                <w:sz w:val="18"/>
                <w:szCs w:val="18"/>
              </w:rPr>
            </w:pP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7777777"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7777777" w:rsidR="000709D2" w:rsidRDefault="000709D2" w:rsidP="0044200D">
            <w:pPr>
              <w:rPr>
                <w:rFonts w:ascii="Verdana" w:hAnsi="Verdana"/>
                <w:b/>
                <w:bCs/>
                <w:sz w:val="18"/>
                <w:szCs w:val="18"/>
              </w:rPr>
            </w:pPr>
          </w:p>
        </w:tc>
        <w:tc>
          <w:tcPr>
            <w:tcW w:w="1800" w:type="dxa"/>
          </w:tcPr>
          <w:p w14:paraId="0CE0D6B8" w14:textId="77777777" w:rsidR="000709D2" w:rsidRDefault="000709D2" w:rsidP="0044200D">
            <w:pPr>
              <w:rPr>
                <w:rFonts w:ascii="Verdana" w:hAnsi="Verdana"/>
                <w:b/>
                <w:bCs/>
                <w:sz w:val="18"/>
                <w:szCs w:val="18"/>
              </w:rPr>
            </w:pP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7777777"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777777" w:rsidR="000709D2" w:rsidRDefault="000709D2" w:rsidP="0044200D">
            <w:pPr>
              <w:rPr>
                <w:rFonts w:ascii="Verdana" w:hAnsi="Verdana"/>
                <w:b/>
                <w:bCs/>
                <w:sz w:val="18"/>
                <w:szCs w:val="18"/>
              </w:rPr>
            </w:pPr>
          </w:p>
        </w:tc>
        <w:tc>
          <w:tcPr>
            <w:tcW w:w="1800" w:type="dxa"/>
          </w:tcPr>
          <w:p w14:paraId="6D6A88FA" w14:textId="77777777" w:rsidR="000709D2" w:rsidRDefault="000709D2" w:rsidP="0044200D">
            <w:pPr>
              <w:rPr>
                <w:rFonts w:ascii="Verdana" w:hAnsi="Verdana"/>
                <w:b/>
                <w:bCs/>
                <w:sz w:val="18"/>
                <w:szCs w:val="18"/>
              </w:rPr>
            </w:pP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Default="000709D2" w:rsidP="0044200D">
            <w:pPr>
              <w:rPr>
                <w:rFonts w:ascii="Verdana" w:hAnsi="Verdana"/>
                <w:b/>
                <w:bCs/>
                <w:sz w:val="18"/>
                <w:szCs w:val="18"/>
              </w:rPr>
            </w:pPr>
          </w:p>
        </w:tc>
        <w:tc>
          <w:tcPr>
            <w:tcW w:w="1800" w:type="dxa"/>
          </w:tcPr>
          <w:p w14:paraId="23D41716" w14:textId="77777777" w:rsidR="000709D2" w:rsidRDefault="000709D2" w:rsidP="0044200D">
            <w:pPr>
              <w:rPr>
                <w:rFonts w:ascii="Verdana" w:hAnsi="Verdana"/>
                <w:b/>
                <w:bCs/>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7777777" w:rsidR="0066123D" w:rsidRDefault="0066123D" w:rsidP="0044200D">
            <w:pPr>
              <w:rPr>
                <w:rFonts w:ascii="Verdana" w:hAnsi="Verdana"/>
                <w:b/>
                <w:bCs/>
                <w:sz w:val="18"/>
                <w:szCs w:val="18"/>
              </w:rPr>
            </w:pPr>
          </w:p>
        </w:tc>
        <w:tc>
          <w:tcPr>
            <w:tcW w:w="1800" w:type="dxa"/>
          </w:tcPr>
          <w:p w14:paraId="60039FC7" w14:textId="77777777" w:rsidR="0066123D" w:rsidRDefault="0066123D" w:rsidP="0044200D">
            <w:pPr>
              <w:rPr>
                <w:rFonts w:ascii="Verdana" w:hAnsi="Verdana"/>
                <w:b/>
                <w:bCs/>
                <w:sz w:val="18"/>
                <w:szCs w:val="18"/>
              </w:rPr>
            </w:pPr>
          </w:p>
        </w:tc>
        <w:tc>
          <w:tcPr>
            <w:tcW w:w="1710" w:type="dxa"/>
          </w:tcPr>
          <w:p w14:paraId="06158A2F" w14:textId="77777777" w:rsidR="0066123D" w:rsidRDefault="0066123D"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Default="000709D2" w:rsidP="0044200D">
            <w:pPr>
              <w:rPr>
                <w:rFonts w:ascii="Verdana" w:hAnsi="Verdana"/>
                <w:b/>
                <w:bCs/>
                <w:sz w:val="18"/>
                <w:szCs w:val="18"/>
              </w:rPr>
            </w:pPr>
          </w:p>
        </w:tc>
        <w:tc>
          <w:tcPr>
            <w:tcW w:w="1800" w:type="dxa"/>
          </w:tcPr>
          <w:p w14:paraId="359A6BAA" w14:textId="77777777" w:rsidR="000709D2" w:rsidRDefault="000709D2" w:rsidP="0044200D">
            <w:pPr>
              <w:rPr>
                <w:rFonts w:ascii="Verdana" w:hAnsi="Verdana"/>
                <w:b/>
                <w:bCs/>
                <w:sz w:val="18"/>
                <w:szCs w:val="18"/>
              </w:rPr>
            </w:pP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7777777" w:rsidR="000709D2" w:rsidRDefault="000709D2" w:rsidP="0044200D">
            <w:pPr>
              <w:rPr>
                <w:rFonts w:ascii="Verdana" w:hAnsi="Verdana"/>
                <w:b/>
                <w:bCs/>
                <w:sz w:val="18"/>
                <w:szCs w:val="18"/>
              </w:rPr>
            </w:pPr>
          </w:p>
        </w:tc>
        <w:tc>
          <w:tcPr>
            <w:tcW w:w="1800" w:type="dxa"/>
          </w:tcPr>
          <w:p w14:paraId="25A24F1F" w14:textId="77777777" w:rsidR="000709D2" w:rsidRDefault="000709D2" w:rsidP="0044200D">
            <w:pPr>
              <w:rPr>
                <w:rFonts w:ascii="Verdana" w:hAnsi="Verdana"/>
                <w:b/>
                <w:bCs/>
                <w:sz w:val="18"/>
                <w:szCs w:val="18"/>
              </w:rPr>
            </w:pP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9" w:name="_Toc30492498"/>
      <w:r>
        <w:t>State Financing Activities</w:t>
      </w:r>
      <w:bookmarkEnd w:id="9"/>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10" w:name="_Toc30492499"/>
      <w:r>
        <w:t xml:space="preserve">Financial </w:t>
      </w:r>
      <w:r w:rsidR="006B2442" w:rsidRPr="006B2442">
        <w:t>L</w:t>
      </w:r>
      <w:r>
        <w:t xml:space="preserve">oan </w:t>
      </w:r>
      <w:r w:rsidR="006B2442">
        <w:t>P</w:t>
      </w:r>
      <w:r>
        <w:t>rogram</w:t>
      </w:r>
      <w:r w:rsidR="00A0663B">
        <w:t xml:space="preserve"> -</w:t>
      </w:r>
      <w:bookmarkEnd w:id="10"/>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7777777" w:rsidR="00D231F0" w:rsidRDefault="00D231F0" w:rsidP="00A02B19">
            <w:pPr>
              <w:rPr>
                <w:rFonts w:ascii="Verdana" w:hAnsi="Verdana"/>
                <w:b/>
                <w:bCs/>
                <w:sz w:val="18"/>
                <w:szCs w:val="18"/>
              </w:rPr>
            </w:pP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1"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1"/>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7777777" w:rsidR="00AB4C76" w:rsidRDefault="00C91B79" w:rsidP="00C91B7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7777777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77777777" w:rsidR="00AB4C76" w:rsidRDefault="000149FB" w:rsidP="00066E54">
      <w:pPr>
        <w:pStyle w:val="Heading3"/>
      </w:pPr>
      <w:bookmarkStart w:id="12" w:name="_Toc30492500"/>
      <w:r w:rsidRPr="00066E54">
        <w:t>Othe</w:t>
      </w:r>
      <w:r w:rsidR="001E6505" w:rsidRPr="00066E54">
        <w:t>r State Financing Activities Directly Provide AT</w:t>
      </w:r>
      <w:bookmarkEnd w:id="12"/>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r w:rsidR="00D42E14" w:rsidRPr="00BD4C0E">
        <w:t>iCanConnect</w:t>
      </w:r>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w:t>
      </w:r>
      <w:r w:rsidR="00717A8B">
        <w:lastRenderedPageBreak/>
        <w:t xml:space="preserve">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(iCanConnect).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3" w:name="_Toc30492501"/>
      <w:r w:rsidRPr="00AB4C76">
        <w:t>O</w:t>
      </w:r>
      <w:r w:rsidR="002F776A" w:rsidRPr="00AB4C76">
        <w:t>ther</w:t>
      </w:r>
      <w:r w:rsidR="002F776A" w:rsidRPr="00066E54">
        <w:t xml:space="preserve"> State Financing Activities Create </w:t>
      </w:r>
      <w:r w:rsidR="000149FB" w:rsidRPr="00066E54">
        <w:t>AT Savings</w:t>
      </w:r>
      <w:bookmarkEnd w:id="13"/>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lastRenderedPageBreak/>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4" w:name="_Toc30492502"/>
      <w:r w:rsidRPr="00066E54">
        <w:t>Device</w:t>
      </w:r>
      <w:r>
        <w:t xml:space="preserve"> Reutilization Activities</w:t>
      </w:r>
      <w:bookmarkEnd w:id="14"/>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5" w:name="_Toc30492503"/>
      <w:r>
        <w:lastRenderedPageBreak/>
        <w:t>Device Exchange</w:t>
      </w:r>
      <w:bookmarkEnd w:id="15"/>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6" w:name="_Toc30492504"/>
      <w:r>
        <w:t xml:space="preserve">Device </w:t>
      </w:r>
      <w:r w:rsidR="00263D35">
        <w:t xml:space="preserve">Refurbish and Reassignment </w:t>
      </w:r>
      <w:r w:rsidR="00A02B19">
        <w:t>and/</w:t>
      </w:r>
      <w:r w:rsidR="00263D35">
        <w:t>or Open-ended Loan</w:t>
      </w:r>
      <w:bookmarkEnd w:id="16"/>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7777777" w:rsidR="00D231F0" w:rsidRDefault="00D231F0" w:rsidP="00A02B19">
            <w:pPr>
              <w:rPr>
                <w:rFonts w:ascii="Verdana" w:hAnsi="Verdana"/>
                <w:b/>
                <w:bCs/>
                <w:sz w:val="18"/>
                <w:szCs w:val="18"/>
              </w:rPr>
            </w:pP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 xml:space="preserve">Device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lastRenderedPageBreak/>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77777777"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08FF819E" w14:textId="77777777"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7" w:name="_Toc30492505"/>
      <w:r>
        <w:t xml:space="preserve">Device </w:t>
      </w:r>
      <w:r w:rsidR="00C97508">
        <w:t>Short-term Loan</w:t>
      </w:r>
      <w:r>
        <w:t xml:space="preserve"> Activity</w:t>
      </w:r>
      <w:bookmarkEnd w:id="17"/>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8" w:name="_Toc30492506"/>
      <w:r>
        <w:t xml:space="preserve">Short-term </w:t>
      </w:r>
      <w:r w:rsidR="00E809F4">
        <w:t xml:space="preserve">Device </w:t>
      </w:r>
      <w:r>
        <w:t>Loan</w:t>
      </w:r>
      <w:bookmarkEnd w:id="18"/>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7777777"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77777777" w:rsidR="00D231F0" w:rsidRDefault="00D231F0" w:rsidP="00A02B19">
            <w:pPr>
              <w:rPr>
                <w:rFonts w:ascii="Verdana" w:hAnsi="Verdana"/>
                <w:b/>
                <w:bCs/>
                <w:sz w:val="18"/>
                <w:szCs w:val="18"/>
              </w:rPr>
            </w:pP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Default="00D231F0" w:rsidP="00A02B19">
            <w:pPr>
              <w:rPr>
                <w:rFonts w:ascii="Verdana" w:hAnsi="Verdana"/>
                <w:b/>
                <w:bCs/>
                <w:sz w:val="18"/>
                <w:szCs w:val="18"/>
              </w:rPr>
            </w:pP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77777777" w:rsidR="00D231F0" w:rsidRDefault="00D231F0" w:rsidP="00A02B19">
            <w:pPr>
              <w:rPr>
                <w:rFonts w:ascii="Verdana" w:hAnsi="Verdana"/>
                <w:b/>
                <w:bCs/>
                <w:sz w:val="18"/>
                <w:szCs w:val="18"/>
              </w:rPr>
            </w:pP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77777777" w:rsidR="00D231F0" w:rsidRDefault="00D231F0" w:rsidP="00A02B19">
            <w:pPr>
              <w:rPr>
                <w:rFonts w:ascii="Verdana" w:hAnsi="Verdana"/>
                <w:b/>
                <w:bCs/>
                <w:sz w:val="18"/>
                <w:szCs w:val="18"/>
              </w:rPr>
            </w:pP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w:t>
      </w:r>
      <w:r w:rsidR="00E83D50" w:rsidRPr="00294380">
        <w:rPr>
          <w:i/>
        </w:rPr>
        <w:lastRenderedPageBreak/>
        <w:t xml:space="preserve">loan period is up to six weeks and an entity can borrow up to six devices. With each tablet loan, up to 10 applications can be borrowed.  </w:t>
      </w:r>
    </w:p>
    <w:p w14:paraId="21F18D61" w14:textId="77777777"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77777777"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9" w:name="_Toc30492507"/>
      <w:r>
        <w:t>Device Demonstration Activity</w:t>
      </w:r>
      <w:bookmarkEnd w:id="19"/>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20" w:name="_Toc30492508"/>
      <w:r>
        <w:rPr>
          <w:rFonts w:ascii="Verdana" w:hAnsi="Verdana"/>
        </w:rPr>
        <w:lastRenderedPageBreak/>
        <w:t xml:space="preserve">Device </w:t>
      </w:r>
      <w:r w:rsidR="008067F8">
        <w:rPr>
          <w:rFonts w:ascii="Verdana" w:hAnsi="Verdana"/>
        </w:rPr>
        <w:t>Demonstration</w:t>
      </w:r>
      <w:bookmarkEnd w:id="20"/>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7777777" w:rsidR="00D231F0" w:rsidRDefault="00D231F0" w:rsidP="00A02B19">
            <w:pPr>
              <w:rPr>
                <w:rFonts w:ascii="Verdana" w:hAnsi="Verdana"/>
                <w:b/>
                <w:bCs/>
                <w:sz w:val="18"/>
                <w:szCs w:val="18"/>
              </w:rPr>
            </w:pP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77777777" w:rsidR="00D231F0" w:rsidRDefault="00D231F0" w:rsidP="00A02B19">
            <w:pPr>
              <w:rPr>
                <w:rFonts w:ascii="Verdana" w:hAnsi="Verdana"/>
                <w:b/>
                <w:bCs/>
                <w:sz w:val="18"/>
                <w:szCs w:val="18"/>
              </w:rPr>
            </w:pP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77777777" w:rsidR="00D231F0" w:rsidRDefault="00D231F0" w:rsidP="00A02B19">
            <w:pPr>
              <w:rPr>
                <w:rFonts w:ascii="Verdana" w:hAnsi="Verdana"/>
                <w:b/>
                <w:bCs/>
                <w:sz w:val="18"/>
                <w:szCs w:val="18"/>
              </w:rPr>
            </w:pP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77777777" w:rsidR="00D231F0" w:rsidRDefault="00D231F0" w:rsidP="00A02B19">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77777777"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w:t>
      </w:r>
      <w:r w:rsidR="00C40E2A">
        <w:rPr>
          <w:i/>
        </w:rPr>
        <w:lastRenderedPageBreak/>
        <w:t xml:space="preserve">AT to their specific functional limitations.  If devices are identified that will meet individual needs, referrals and resources are provided to support acquisition.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77777777"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1" w:name="_Toc30492509"/>
      <w:r>
        <w:t>State Leadership Activities</w:t>
      </w:r>
      <w:bookmarkEnd w:id="21"/>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2" w:name="_Toc30492510"/>
      <w:r>
        <w:t>Training</w:t>
      </w:r>
      <w:bookmarkEnd w:id="22"/>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77777777" w:rsidR="00D231F0" w:rsidRDefault="00D231F0" w:rsidP="00A02B19">
            <w:pPr>
              <w:rPr>
                <w:rFonts w:ascii="Verdana" w:hAnsi="Verdana"/>
                <w:b/>
                <w:bCs/>
                <w:sz w:val="18"/>
                <w:szCs w:val="18"/>
              </w:rPr>
            </w:pP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77777777" w:rsidR="00D231F0" w:rsidRDefault="00D231F0" w:rsidP="00A02B19">
            <w:pPr>
              <w:rPr>
                <w:rFonts w:ascii="Verdana" w:hAnsi="Verdana"/>
                <w:b/>
                <w:bCs/>
                <w:sz w:val="18"/>
                <w:szCs w:val="18"/>
              </w:rPr>
            </w:pP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7777777" w:rsidR="00D231F0" w:rsidRDefault="00D231F0" w:rsidP="00A02B19">
            <w:pPr>
              <w:rPr>
                <w:rFonts w:ascii="Verdana" w:hAnsi="Verdana"/>
                <w:b/>
                <w:bCs/>
                <w:sz w:val="18"/>
                <w:szCs w:val="18"/>
              </w:rPr>
            </w:pP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77777777" w:rsidR="004A419C" w:rsidRDefault="004A419C" w:rsidP="00F11220">
      <w:pPr>
        <w:tabs>
          <w:tab w:val="left" w:pos="1800"/>
        </w:tabs>
        <w:ind w:left="720"/>
        <w:rPr>
          <w:rFonts w:ascii="Verdana" w:hAnsi="Verdana"/>
          <w:b/>
          <w:sz w:val="18"/>
          <w:szCs w:val="18"/>
        </w:rPr>
      </w:pP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lastRenderedPageBreak/>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3" w:name="_Toc30492511"/>
      <w:r>
        <w:rPr>
          <w:rFonts w:ascii="Verdana" w:hAnsi="Verdana"/>
        </w:rPr>
        <w:t>Technical Assistance</w:t>
      </w:r>
      <w:bookmarkEnd w:id="23"/>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77777777" w:rsidR="00D231F0" w:rsidRDefault="00D231F0" w:rsidP="00A02B19">
            <w:pPr>
              <w:rPr>
                <w:rFonts w:ascii="Verdana" w:hAnsi="Verdana"/>
                <w:b/>
                <w:bCs/>
                <w:sz w:val="18"/>
                <w:szCs w:val="18"/>
              </w:rPr>
            </w:pPr>
          </w:p>
        </w:tc>
        <w:tc>
          <w:tcPr>
            <w:tcW w:w="1800" w:type="dxa"/>
          </w:tcPr>
          <w:p w14:paraId="65959A9C" w14:textId="77777777" w:rsidR="00D231F0" w:rsidRDefault="00D231F0" w:rsidP="00A02B19">
            <w:pPr>
              <w:rPr>
                <w:rFonts w:ascii="Verdana" w:hAnsi="Verdana"/>
                <w:b/>
                <w:bCs/>
                <w:sz w:val="18"/>
                <w:szCs w:val="18"/>
              </w:rPr>
            </w:pPr>
          </w:p>
        </w:tc>
        <w:tc>
          <w:tcPr>
            <w:tcW w:w="1710" w:type="dxa"/>
          </w:tcPr>
          <w:p w14:paraId="37594B75" w14:textId="77777777" w:rsidR="00D231F0" w:rsidRDefault="00D231F0" w:rsidP="00A02B19">
            <w:pPr>
              <w:rPr>
                <w:rFonts w:ascii="Verdana" w:hAnsi="Verdana"/>
                <w:b/>
                <w:bCs/>
                <w:sz w:val="18"/>
                <w:szCs w:val="18"/>
              </w:rPr>
            </w:pP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4" w:name="_Toc30492512"/>
      <w:r>
        <w:t>Public Awareness</w:t>
      </w:r>
      <w:bookmarkEnd w:id="24"/>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7777777" w:rsidR="00D231F0" w:rsidRDefault="00D231F0" w:rsidP="00A02B19">
            <w:pPr>
              <w:rPr>
                <w:rFonts w:ascii="Verdana" w:hAnsi="Verdana"/>
                <w:b/>
                <w:bCs/>
                <w:sz w:val="18"/>
                <w:szCs w:val="18"/>
              </w:rPr>
            </w:pP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77777777" w:rsidR="00D231F0" w:rsidRDefault="00D231F0" w:rsidP="00A02B19">
            <w:pPr>
              <w:rPr>
                <w:rFonts w:ascii="Verdana" w:hAnsi="Verdana"/>
                <w:b/>
                <w:bCs/>
                <w:sz w:val="18"/>
                <w:szCs w:val="18"/>
              </w:rPr>
            </w:pP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77777777"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77777777" w:rsidR="004A419C" w:rsidRPr="00F11220" w:rsidRDefault="004A419C" w:rsidP="00AE43D7">
      <w:pPr>
        <w:tabs>
          <w:tab w:val="left" w:pos="1800"/>
        </w:tabs>
        <w:ind w:left="720"/>
        <w:rPr>
          <w:rFonts w:ascii="Verdana" w:hAnsi="Verdana"/>
          <w:b/>
          <w:sz w:val="18"/>
          <w:szCs w:val="18"/>
        </w:rPr>
      </w:pP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lastRenderedPageBreak/>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5" w:name="_Toc30492513"/>
      <w:r>
        <w:t>Information &amp; Assistance</w:t>
      </w:r>
      <w:bookmarkEnd w:id="25"/>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lastRenderedPageBreak/>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7777777" w:rsidR="00D231F0" w:rsidRDefault="00D231F0" w:rsidP="00A02B19">
            <w:pPr>
              <w:rPr>
                <w:rFonts w:ascii="Verdana" w:hAnsi="Verdana"/>
                <w:b/>
                <w:bCs/>
                <w:sz w:val="18"/>
                <w:szCs w:val="18"/>
              </w:rPr>
            </w:pP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77777777"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6" w:name="_Toc30492514"/>
      <w:r>
        <w:t>Assurances</w:t>
      </w:r>
      <w:r w:rsidR="00D206F4">
        <w:t xml:space="preserve"> &amp; M</w:t>
      </w:r>
      <w:r>
        <w:t>easurable Goals</w:t>
      </w:r>
      <w:bookmarkEnd w:id="26"/>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7" w:name="_Toc30492515"/>
      <w:r>
        <w:t>Assurances</w:t>
      </w:r>
      <w:bookmarkEnd w:id="27"/>
      <w:r>
        <w:t xml:space="preserve"> </w:t>
      </w:r>
    </w:p>
    <w:p w14:paraId="57B89AD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[state na</w:t>
      </w:r>
      <w:r w:rsidR="00705EF5" w:rsidRPr="00AB4C76">
        <w:rPr>
          <w:rFonts w:ascii="Verdana" w:hAnsi="Verdana"/>
          <w:b/>
          <w:bCs/>
          <w:sz w:val="18"/>
        </w:rPr>
        <w:t>me]</w:t>
      </w:r>
      <w:r w:rsidRPr="00AB4C76">
        <w:rPr>
          <w:rFonts w:ascii="Verdana" w:hAnsi="Verdana"/>
          <w:b/>
          <w:bCs/>
          <w:sz w:val="18"/>
        </w:rPr>
        <w:t>, I hereby assure the following:</w:t>
      </w:r>
    </w:p>
    <w:p w14:paraId="6018A19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Pr="00AB4C76">
        <w:rPr>
          <w:rFonts w:ascii="Verdana" w:hAnsi="Verdana"/>
          <w:b/>
          <w:bCs/>
          <w:sz w:val="18"/>
        </w:rPr>
        <w:t>[state name].</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8"/>
      <w:footerReference w:type="default" r:id="rId9"/>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64ECC" w14:textId="77777777" w:rsidR="00AE5A9A" w:rsidRDefault="00AE5A9A" w:rsidP="00207765">
      <w:pPr>
        <w:pStyle w:val="Heading1"/>
      </w:pPr>
      <w:r>
        <w:separator/>
      </w:r>
    </w:p>
  </w:endnote>
  <w:endnote w:type="continuationSeparator" w:id="0">
    <w:p w14:paraId="0469D44C" w14:textId="77777777" w:rsidR="00AE5A9A" w:rsidRDefault="00AE5A9A"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6E71B8" w:rsidRDefault="006E71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6E71B8" w:rsidRDefault="006E71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6E71B8" w:rsidRDefault="006E71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6E71B8" w:rsidRDefault="006E7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4DC55" w14:textId="77777777" w:rsidR="00AE5A9A" w:rsidRDefault="00AE5A9A" w:rsidP="00207765">
      <w:pPr>
        <w:pStyle w:val="Heading1"/>
      </w:pPr>
      <w:r>
        <w:separator/>
      </w:r>
    </w:p>
  </w:footnote>
  <w:footnote w:type="continuationSeparator" w:id="0">
    <w:p w14:paraId="5028C3C3" w14:textId="77777777" w:rsidR="00AE5A9A" w:rsidRDefault="00AE5A9A"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23133"/>
    <w:rsid w:val="00135ED7"/>
    <w:rsid w:val="00140CC3"/>
    <w:rsid w:val="00144134"/>
    <w:rsid w:val="001447E6"/>
    <w:rsid w:val="00153E8D"/>
    <w:rsid w:val="00157D62"/>
    <w:rsid w:val="00162FF1"/>
    <w:rsid w:val="001833BE"/>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2032C2"/>
    <w:rsid w:val="00204470"/>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B1F97"/>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3019B"/>
    <w:rsid w:val="00531BB5"/>
    <w:rsid w:val="00534584"/>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E1430"/>
    <w:rsid w:val="005E3D57"/>
    <w:rsid w:val="005E4AA4"/>
    <w:rsid w:val="005E5968"/>
    <w:rsid w:val="005F73D0"/>
    <w:rsid w:val="00604ADF"/>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50E21"/>
    <w:rsid w:val="0095650A"/>
    <w:rsid w:val="009606C9"/>
    <w:rsid w:val="009614A6"/>
    <w:rsid w:val="009645D1"/>
    <w:rsid w:val="00965201"/>
    <w:rsid w:val="009656A6"/>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57F4D"/>
    <w:rsid w:val="00C60149"/>
    <w:rsid w:val="00C63D64"/>
    <w:rsid w:val="00C70B39"/>
    <w:rsid w:val="00C70B74"/>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5E34"/>
    <w:rsid w:val="00DE6803"/>
    <w:rsid w:val="00DF4CDB"/>
    <w:rsid w:val="00DF6282"/>
    <w:rsid w:val="00E07BAB"/>
    <w:rsid w:val="00E101B3"/>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EA"/>
    <w:rsid w:val="00EB2359"/>
    <w:rsid w:val="00EC4E9B"/>
    <w:rsid w:val="00EC6ADC"/>
    <w:rsid w:val="00ED19A0"/>
    <w:rsid w:val="00EF0316"/>
    <w:rsid w:val="00EF71F0"/>
    <w:rsid w:val="00F10FFA"/>
    <w:rsid w:val="00F11220"/>
    <w:rsid w:val="00F14759"/>
    <w:rsid w:val="00F31D1C"/>
    <w:rsid w:val="00F37626"/>
    <w:rsid w:val="00F406D4"/>
    <w:rsid w:val="00F42746"/>
    <w:rsid w:val="00F451AF"/>
    <w:rsid w:val="00F54FA3"/>
    <w:rsid w:val="00F575CD"/>
    <w:rsid w:val="00F62872"/>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77BEF-DBFA-D042-860B-861D4061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14324</Words>
  <Characters>81648</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95781</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Daria Domin</cp:lastModifiedBy>
  <cp:revision>2</cp:revision>
  <cp:lastPrinted>2017-08-07T20:06:00Z</cp:lastPrinted>
  <dcterms:created xsi:type="dcterms:W3CDTF">2020-01-22T15:23:00Z</dcterms:created>
  <dcterms:modified xsi:type="dcterms:W3CDTF">2020-01-22T15:23:00Z</dcterms:modified>
</cp:coreProperties>
</file>