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56E71" w14:textId="3A3F5AE3" w:rsidR="00BB1C2C" w:rsidRPr="00B3688A" w:rsidRDefault="00BB1C2C" w:rsidP="00BB1C2C">
      <w:pPr>
        <w:pStyle w:val="Heading1"/>
        <w:rPr>
          <w:b w:val="0"/>
        </w:rPr>
      </w:pPr>
      <w:r w:rsidRPr="00B3688A">
        <w:t>A</w:t>
      </w:r>
      <w:r w:rsidR="003279EB">
        <w:t>ssist</w:t>
      </w:r>
      <w:bookmarkStart w:id="0" w:name="_GoBack"/>
      <w:bookmarkEnd w:id="0"/>
      <w:r w:rsidR="003279EB">
        <w:t xml:space="preserve">ive </w:t>
      </w:r>
      <w:r w:rsidRPr="00B3688A">
        <w:t>T</w:t>
      </w:r>
      <w:r w:rsidR="003279EB">
        <w:t>echnology</w:t>
      </w:r>
      <w:r w:rsidRPr="00B3688A">
        <w:t xml:space="preserve"> </w:t>
      </w:r>
      <w:r>
        <w:t xml:space="preserve">“Maker” </w:t>
      </w:r>
      <w:r w:rsidR="00CB508C">
        <w:t>Activities</w:t>
      </w:r>
      <w:r w:rsidR="001038A5">
        <w:t xml:space="preserve"> </w:t>
      </w:r>
      <w:r w:rsidRPr="00B3688A">
        <w:t xml:space="preserve"> </w:t>
      </w:r>
    </w:p>
    <w:p w14:paraId="45AAB094" w14:textId="3FD4CE72" w:rsidR="00BB1C2C" w:rsidRDefault="00BB1C2C" w:rsidP="00BB1C2C">
      <w:pPr>
        <w:rPr>
          <w:szCs w:val="20"/>
        </w:rPr>
      </w:pPr>
    </w:p>
    <w:p w14:paraId="1BCF5B64" w14:textId="1816B545" w:rsidR="003279EB" w:rsidRDefault="003279EB" w:rsidP="00BB1C2C">
      <w:pPr>
        <w:rPr>
          <w:sz w:val="24"/>
        </w:rPr>
      </w:pPr>
      <w:r w:rsidRPr="003E7387">
        <w:rPr>
          <w:sz w:val="24"/>
        </w:rPr>
        <w:t xml:space="preserve">More and more State AT Programs are including AT </w:t>
      </w:r>
      <w:r>
        <w:rPr>
          <w:sz w:val="24"/>
        </w:rPr>
        <w:t xml:space="preserve">“maker” </w:t>
      </w:r>
      <w:r w:rsidRPr="003E7387">
        <w:rPr>
          <w:sz w:val="24"/>
        </w:rPr>
        <w:t xml:space="preserve">activities in their State Plan for Assistive Technology (AT) and reporting such activities in their Annual Performance Report (APR). AT </w:t>
      </w:r>
      <w:r>
        <w:rPr>
          <w:sz w:val="24"/>
        </w:rPr>
        <w:t xml:space="preserve">maker or fabrication activities are </w:t>
      </w:r>
      <w:r w:rsidRPr="003E7387">
        <w:rPr>
          <w:sz w:val="24"/>
        </w:rPr>
        <w:t xml:space="preserve">typically conducted as a State Financing </w:t>
      </w:r>
      <w:r>
        <w:rPr>
          <w:sz w:val="24"/>
        </w:rPr>
        <w:t xml:space="preserve">Activity and in some unique situations as a Reuse </w:t>
      </w:r>
      <w:r w:rsidRPr="003E7387">
        <w:rPr>
          <w:sz w:val="24"/>
        </w:rPr>
        <w:t xml:space="preserve">activity. This document provides an overview of AT </w:t>
      </w:r>
      <w:r>
        <w:rPr>
          <w:sz w:val="24"/>
        </w:rPr>
        <w:t xml:space="preserve">maker and fabrication activities </w:t>
      </w:r>
      <w:r w:rsidRPr="003E7387">
        <w:rPr>
          <w:sz w:val="24"/>
        </w:rPr>
        <w:t>within the context of state level AT Act activities and data reporting.</w:t>
      </w:r>
    </w:p>
    <w:p w14:paraId="63BB5947" w14:textId="77777777" w:rsidR="003279EB" w:rsidRDefault="003279EB" w:rsidP="00BB1C2C">
      <w:pPr>
        <w:rPr>
          <w:sz w:val="24"/>
        </w:rPr>
      </w:pPr>
    </w:p>
    <w:p w14:paraId="1A459912" w14:textId="787F0DA7" w:rsidR="003279EB" w:rsidRDefault="003279EB" w:rsidP="003279EB">
      <w:pPr>
        <w:pStyle w:val="Heading2"/>
      </w:pPr>
      <w:r>
        <w:t>AT Maker Activities Defined</w:t>
      </w:r>
    </w:p>
    <w:p w14:paraId="0AA5B1BC" w14:textId="77777777" w:rsidR="003B092E" w:rsidRDefault="003B092E" w:rsidP="00BB1C2C">
      <w:pPr>
        <w:rPr>
          <w:sz w:val="24"/>
        </w:rPr>
      </w:pPr>
    </w:p>
    <w:p w14:paraId="4044FB34" w14:textId="708DCAB0" w:rsidR="00BB1C2C" w:rsidRPr="00BB1C2C" w:rsidRDefault="00CB508C" w:rsidP="00BB1C2C">
      <w:pPr>
        <w:rPr>
          <w:sz w:val="24"/>
        </w:rPr>
      </w:pPr>
      <w:r>
        <w:rPr>
          <w:sz w:val="24"/>
        </w:rPr>
        <w:t xml:space="preserve">State AT Programs </w:t>
      </w:r>
      <w:r w:rsidR="00BB1C2C" w:rsidRPr="00BB1C2C">
        <w:rPr>
          <w:sz w:val="24"/>
        </w:rPr>
        <w:t xml:space="preserve">engaged in AT “maker” </w:t>
      </w:r>
      <w:r>
        <w:rPr>
          <w:sz w:val="24"/>
        </w:rPr>
        <w:t xml:space="preserve">activities </w:t>
      </w:r>
      <w:r w:rsidR="00BB1C2C" w:rsidRPr="00BB1C2C">
        <w:rPr>
          <w:sz w:val="24"/>
        </w:rPr>
        <w:t>where a finished product is made/fabricated and provided to a consumer to meet an AT need</w:t>
      </w:r>
      <w:r>
        <w:rPr>
          <w:sz w:val="24"/>
        </w:rPr>
        <w:t xml:space="preserve"> </w:t>
      </w:r>
      <w:r w:rsidR="00BB1C2C" w:rsidRPr="00BB1C2C">
        <w:rPr>
          <w:sz w:val="24"/>
        </w:rPr>
        <w:t xml:space="preserve">are </w:t>
      </w:r>
      <w:r>
        <w:rPr>
          <w:sz w:val="24"/>
        </w:rPr>
        <w:t xml:space="preserve">conducting </w:t>
      </w:r>
      <w:r w:rsidR="00BB1C2C" w:rsidRPr="00BB1C2C">
        <w:rPr>
          <w:sz w:val="24"/>
        </w:rPr>
        <w:t>an “acquisition” activity.  Making</w:t>
      </w:r>
      <w:r>
        <w:rPr>
          <w:sz w:val="24"/>
        </w:rPr>
        <w:t xml:space="preserve"> and providing</w:t>
      </w:r>
      <w:r w:rsidR="00BB1C2C" w:rsidRPr="00BB1C2C">
        <w:rPr>
          <w:sz w:val="24"/>
        </w:rPr>
        <w:t xml:space="preserve"> the AT </w:t>
      </w:r>
      <w:r>
        <w:rPr>
          <w:sz w:val="24"/>
        </w:rPr>
        <w:t xml:space="preserve">device for </w:t>
      </w:r>
      <w:r w:rsidR="00BB1C2C" w:rsidRPr="00BB1C2C">
        <w:rPr>
          <w:sz w:val="24"/>
        </w:rPr>
        <w:t xml:space="preserve">no cost or </w:t>
      </w:r>
      <w:r>
        <w:rPr>
          <w:sz w:val="24"/>
        </w:rPr>
        <w:t xml:space="preserve">for less </w:t>
      </w:r>
      <w:r w:rsidR="00BB1C2C" w:rsidRPr="00BB1C2C">
        <w:rPr>
          <w:sz w:val="24"/>
        </w:rPr>
        <w:t xml:space="preserve">than a similar manufactured </w:t>
      </w:r>
      <w:r>
        <w:rPr>
          <w:sz w:val="24"/>
        </w:rPr>
        <w:t>device would cost (</w:t>
      </w:r>
      <w:r w:rsidR="00BB1C2C" w:rsidRPr="00BB1C2C">
        <w:rPr>
          <w:sz w:val="24"/>
        </w:rPr>
        <w:t>e.g. just charging for materials) is a way for the consumer to acquire the device.</w:t>
      </w:r>
    </w:p>
    <w:p w14:paraId="3165C0C6" w14:textId="4E313243" w:rsidR="00BB1C2C" w:rsidRDefault="00BB1C2C" w:rsidP="00BB1C2C">
      <w:pPr>
        <w:rPr>
          <w:sz w:val="24"/>
        </w:rPr>
      </w:pPr>
    </w:p>
    <w:p w14:paraId="50621226" w14:textId="65E72BF2" w:rsidR="003B092E" w:rsidRPr="00BB1C2C" w:rsidRDefault="003B092E" w:rsidP="003B092E">
      <w:pPr>
        <w:pStyle w:val="Heading2"/>
      </w:pPr>
      <w:r>
        <w:t>AT Maker Data Reporting</w:t>
      </w:r>
    </w:p>
    <w:p w14:paraId="48EDF916" w14:textId="77777777" w:rsidR="003B092E" w:rsidRDefault="003B092E" w:rsidP="00BB1C2C">
      <w:pPr>
        <w:rPr>
          <w:sz w:val="24"/>
        </w:rPr>
      </w:pPr>
    </w:p>
    <w:p w14:paraId="34893460" w14:textId="11A02D13" w:rsidR="00CB508C" w:rsidRDefault="00BB1C2C" w:rsidP="00BB1C2C">
      <w:pPr>
        <w:rPr>
          <w:sz w:val="24"/>
        </w:rPr>
      </w:pPr>
      <w:r w:rsidRPr="00BB1C2C">
        <w:rPr>
          <w:sz w:val="24"/>
        </w:rPr>
        <w:t>Most frequently the consumer that acquired the made AT will own it and that data should be reported in Other State Financing that creates Savings.  There is a drop-down choice for “AT fabrication or AT maker program” for this activity in the Annual Progress Report.   </w:t>
      </w:r>
    </w:p>
    <w:p w14:paraId="5588E45C" w14:textId="77777777" w:rsidR="00CB508C" w:rsidRDefault="00CB508C" w:rsidP="00BB1C2C">
      <w:pPr>
        <w:rPr>
          <w:sz w:val="24"/>
        </w:rPr>
      </w:pPr>
    </w:p>
    <w:p w14:paraId="3D99CD71" w14:textId="7F23A756" w:rsidR="00CB508C" w:rsidRDefault="00BB1C2C" w:rsidP="00BB1C2C">
      <w:pPr>
        <w:rPr>
          <w:sz w:val="24"/>
        </w:rPr>
      </w:pPr>
      <w:r w:rsidRPr="00BB1C2C">
        <w:rPr>
          <w:sz w:val="24"/>
        </w:rPr>
        <w:t xml:space="preserve">It is possible that a consumer acquires made AT with the understanding that it should be returned to the program when it is no longer needed by the consumer.  In that case, the acquisition </w:t>
      </w:r>
      <w:r w:rsidR="003B092E">
        <w:rPr>
          <w:sz w:val="24"/>
        </w:rPr>
        <w:t xml:space="preserve">event </w:t>
      </w:r>
      <w:r w:rsidRPr="00BB1C2C">
        <w:rPr>
          <w:sz w:val="24"/>
        </w:rPr>
        <w:t xml:space="preserve">can be reported under reuse (open-ended loan).  </w:t>
      </w:r>
    </w:p>
    <w:p w14:paraId="3E0516EA" w14:textId="77777777" w:rsidR="00CB508C" w:rsidRDefault="00CB508C" w:rsidP="00BB1C2C">
      <w:pPr>
        <w:rPr>
          <w:sz w:val="24"/>
        </w:rPr>
      </w:pPr>
    </w:p>
    <w:p w14:paraId="27A13F54" w14:textId="499CBA19" w:rsidR="00BB1C2C" w:rsidRPr="00BB1C2C" w:rsidRDefault="00BB1C2C" w:rsidP="00BB1C2C">
      <w:pPr>
        <w:rPr>
          <w:sz w:val="24"/>
        </w:rPr>
      </w:pPr>
      <w:r w:rsidRPr="00BB1C2C">
        <w:rPr>
          <w:sz w:val="24"/>
        </w:rPr>
        <w:t xml:space="preserve">The same basic AT data savings data is reported for either Other State Financing </w:t>
      </w:r>
      <w:r w:rsidR="00CB508C">
        <w:rPr>
          <w:sz w:val="24"/>
        </w:rPr>
        <w:t xml:space="preserve">that Results in Savings </w:t>
      </w:r>
      <w:r w:rsidRPr="00BB1C2C">
        <w:rPr>
          <w:sz w:val="24"/>
        </w:rPr>
        <w:t xml:space="preserve">or Reuse with an estimated retail price of a comparable product to that which is being fabricated/made, along with a sale price (or </w:t>
      </w:r>
      <w:r w:rsidR="00CB508C">
        <w:rPr>
          <w:sz w:val="24"/>
        </w:rPr>
        <w:t xml:space="preserve">costs for </w:t>
      </w:r>
      <w:r w:rsidRPr="00BB1C2C">
        <w:rPr>
          <w:sz w:val="24"/>
        </w:rPr>
        <w:t xml:space="preserve">the fabrication material) and a calculated savings amount.  In some cases, </w:t>
      </w:r>
      <w:r w:rsidR="00A90403">
        <w:rPr>
          <w:sz w:val="24"/>
        </w:rPr>
        <w:t xml:space="preserve">the AT Program </w:t>
      </w:r>
      <w:r w:rsidRPr="00BB1C2C">
        <w:rPr>
          <w:sz w:val="24"/>
        </w:rPr>
        <w:t xml:space="preserve">may need to identify multiple similar devices and average to estimate the retail price.  </w:t>
      </w:r>
    </w:p>
    <w:p w14:paraId="7007335C" w14:textId="77777777" w:rsidR="00BB1C2C" w:rsidRPr="00BB1C2C" w:rsidRDefault="00BB1C2C" w:rsidP="00BB1C2C">
      <w:pPr>
        <w:rPr>
          <w:sz w:val="24"/>
        </w:rPr>
      </w:pPr>
    </w:p>
    <w:p w14:paraId="4CA1FF94" w14:textId="0AEEC1F2" w:rsidR="00CB508C" w:rsidRDefault="00A90403" w:rsidP="00BB1C2C">
      <w:pPr>
        <w:rPr>
          <w:sz w:val="24"/>
        </w:rPr>
      </w:pPr>
      <w:r w:rsidRPr="003E7387">
        <w:rPr>
          <w:sz w:val="24"/>
        </w:rPr>
        <w:t xml:space="preserve">Regardless of </w:t>
      </w:r>
      <w:r>
        <w:rPr>
          <w:sz w:val="24"/>
        </w:rPr>
        <w:t xml:space="preserve">how AT maker activities are reported (as Other State Financing or Reuse) </w:t>
      </w:r>
      <w:r w:rsidRPr="003E7387">
        <w:rPr>
          <w:b/>
          <w:sz w:val="24"/>
        </w:rPr>
        <w:t>the same acquisition performance measure data is collected</w:t>
      </w:r>
      <w:r>
        <w:rPr>
          <w:b/>
          <w:sz w:val="24"/>
        </w:rPr>
        <w:t xml:space="preserve">. </w:t>
      </w:r>
      <w:r w:rsidRPr="003E7387">
        <w:rPr>
          <w:sz w:val="24"/>
        </w:rPr>
        <w:t xml:space="preserve"> </w:t>
      </w:r>
      <w:r>
        <w:rPr>
          <w:sz w:val="24"/>
        </w:rPr>
        <w:t>Detailed i</w:t>
      </w:r>
      <w:r w:rsidR="00BB1C2C" w:rsidRPr="00BB1C2C">
        <w:rPr>
          <w:sz w:val="24"/>
        </w:rPr>
        <w:t xml:space="preserve">nstructions </w:t>
      </w:r>
      <w:r>
        <w:rPr>
          <w:sz w:val="24"/>
        </w:rPr>
        <w:t xml:space="preserve">along with the forms to be used </w:t>
      </w:r>
      <w:r w:rsidR="00BB1C2C" w:rsidRPr="00BB1C2C">
        <w:rPr>
          <w:sz w:val="24"/>
        </w:rPr>
        <w:t xml:space="preserve">for </w:t>
      </w:r>
      <w:r w:rsidR="00BB1C2C" w:rsidRPr="00BB1C2C">
        <w:rPr>
          <w:sz w:val="24"/>
        </w:rPr>
        <w:lastRenderedPageBreak/>
        <w:t xml:space="preserve">collecting acquisition performance measures using OMB approved language can be found </w:t>
      </w:r>
      <w:r w:rsidR="00CB508C">
        <w:rPr>
          <w:sz w:val="24"/>
        </w:rPr>
        <w:t xml:space="preserve">on page 44 of the </w:t>
      </w:r>
      <w:hyperlink r:id="rId6" w:tgtFrame="_blank" w:history="1">
        <w:r w:rsidR="00CB508C" w:rsidRPr="00CB508C">
          <w:rPr>
            <w:rStyle w:val="Hyperlink"/>
            <w:rFonts w:cs="Arial"/>
            <w:color w:val="007BFF"/>
            <w:sz w:val="24"/>
            <w:shd w:val="clear" w:color="auto" w:fill="FFFFFF"/>
          </w:rPr>
          <w:t> State Grant for AT Annual Progress Report (APR) OMB approved Dec 2017</w:t>
        </w:r>
      </w:hyperlink>
      <w:r w:rsidR="00CB508C">
        <w:rPr>
          <w:rFonts w:cs="Arial"/>
          <w:color w:val="333333"/>
          <w:sz w:val="24"/>
          <w:shd w:val="clear" w:color="auto" w:fill="FFFFFF"/>
        </w:rPr>
        <w:t xml:space="preserve">. </w:t>
      </w:r>
    </w:p>
    <w:p w14:paraId="3C918F16" w14:textId="77777777" w:rsidR="00BB1C2C" w:rsidRPr="00BB1C2C" w:rsidRDefault="00BB1C2C" w:rsidP="00BB1C2C">
      <w:pPr>
        <w:rPr>
          <w:sz w:val="24"/>
        </w:rPr>
      </w:pPr>
    </w:p>
    <w:p w14:paraId="7DFC741C" w14:textId="5FC6FF0F" w:rsidR="00E15104" w:rsidRDefault="00A90403" w:rsidP="00CB508C">
      <w:pPr>
        <w:rPr>
          <w:sz w:val="24"/>
        </w:rPr>
      </w:pPr>
      <w:r>
        <w:rPr>
          <w:sz w:val="24"/>
        </w:rPr>
        <w:t xml:space="preserve">State AT Programs should be a </w:t>
      </w:r>
      <w:r w:rsidR="00E15104">
        <w:rPr>
          <w:sz w:val="24"/>
        </w:rPr>
        <w:t xml:space="preserve">consistent as possible in </w:t>
      </w:r>
      <w:r w:rsidR="00E15104" w:rsidRPr="00BB1C2C">
        <w:rPr>
          <w:sz w:val="24"/>
        </w:rPr>
        <w:t xml:space="preserve">how </w:t>
      </w:r>
      <w:r w:rsidR="00E15104">
        <w:rPr>
          <w:sz w:val="24"/>
        </w:rPr>
        <w:t xml:space="preserve">AT Maker activities </w:t>
      </w:r>
      <w:r>
        <w:rPr>
          <w:sz w:val="24"/>
        </w:rPr>
        <w:t xml:space="preserve">are reported in the APR </w:t>
      </w:r>
      <w:r w:rsidR="00E15104">
        <w:rPr>
          <w:sz w:val="24"/>
        </w:rPr>
        <w:t xml:space="preserve">across fiscal years.  If the activities can be reported as Other State Financing please do so as that is the most appropriate mechanism for reporting these activities.  </w:t>
      </w:r>
    </w:p>
    <w:p w14:paraId="09B82853" w14:textId="60321FD7" w:rsidR="00BB1C2C" w:rsidRPr="00CB508C" w:rsidRDefault="00BB1C2C" w:rsidP="00CB508C">
      <w:pPr>
        <w:rPr>
          <w:sz w:val="24"/>
        </w:rPr>
      </w:pPr>
      <w:r w:rsidRPr="00BB1C2C">
        <w:rPr>
          <w:sz w:val="24"/>
        </w:rPr>
        <w:t xml:space="preserve"> </w:t>
      </w:r>
    </w:p>
    <w:p w14:paraId="6CE62A02" w14:textId="77777777" w:rsidR="00CB7B20" w:rsidRDefault="00CB7B20" w:rsidP="00BB1C2C">
      <w:pPr>
        <w:jc w:val="right"/>
        <w:rPr>
          <w:i/>
          <w:sz w:val="16"/>
          <w:szCs w:val="16"/>
        </w:rPr>
      </w:pPr>
    </w:p>
    <w:p w14:paraId="2ABB8102" w14:textId="77777777" w:rsidR="00CB7B20" w:rsidRDefault="00CB7B20" w:rsidP="00BB1C2C">
      <w:pPr>
        <w:jc w:val="right"/>
        <w:rPr>
          <w:i/>
          <w:sz w:val="16"/>
          <w:szCs w:val="16"/>
        </w:rPr>
      </w:pPr>
    </w:p>
    <w:p w14:paraId="2303EDB0" w14:textId="45F94037" w:rsidR="00BB1C2C" w:rsidRPr="009F6E3F" w:rsidRDefault="00BB1C2C" w:rsidP="00BB1C2C">
      <w:pPr>
        <w:jc w:val="right"/>
        <w:rPr>
          <w:i/>
          <w:sz w:val="16"/>
          <w:szCs w:val="16"/>
        </w:rPr>
      </w:pPr>
      <w:r w:rsidRPr="009F6E3F">
        <w:rPr>
          <w:i/>
          <w:sz w:val="16"/>
          <w:szCs w:val="16"/>
        </w:rPr>
        <w:t xml:space="preserve">Last updated </w:t>
      </w:r>
      <w:r w:rsidR="00CB7B20">
        <w:rPr>
          <w:i/>
          <w:sz w:val="16"/>
          <w:szCs w:val="16"/>
        </w:rPr>
        <w:t>March 2020</w:t>
      </w:r>
    </w:p>
    <w:p w14:paraId="68C24D01" w14:textId="77777777" w:rsidR="008036F0" w:rsidRDefault="008036F0"/>
    <w:sectPr w:rsidR="008036F0" w:rsidSect="00842C4B">
      <w:headerReference w:type="default" r:id="rId7"/>
      <w:headerReference w:type="first" r:id="rId8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433A8" w14:textId="77777777" w:rsidR="00586349" w:rsidRDefault="00586349" w:rsidP="0036564A">
      <w:r>
        <w:separator/>
      </w:r>
    </w:p>
  </w:endnote>
  <w:endnote w:type="continuationSeparator" w:id="0">
    <w:p w14:paraId="4C6404CC" w14:textId="77777777" w:rsidR="00586349" w:rsidRDefault="00586349" w:rsidP="00365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87DAC" w14:textId="77777777" w:rsidR="00586349" w:rsidRDefault="00586349" w:rsidP="0036564A">
      <w:r>
        <w:separator/>
      </w:r>
    </w:p>
  </w:footnote>
  <w:footnote w:type="continuationSeparator" w:id="0">
    <w:p w14:paraId="1E2BBBB4" w14:textId="77777777" w:rsidR="00586349" w:rsidRDefault="00586349" w:rsidP="00365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5CCF9" w14:textId="77777777" w:rsidR="0036564A" w:rsidRPr="00DB6501" w:rsidRDefault="0036564A" w:rsidP="0036564A">
    <w:pPr>
      <w:pStyle w:val="Header"/>
      <w:jc w:val="right"/>
    </w:pPr>
    <w:r>
      <w:rPr>
        <w:noProof/>
      </w:rPr>
      <w:drawing>
        <wp:inline distT="0" distB="0" distL="0" distR="0" wp14:anchorId="5AC56970" wp14:editId="626AC6A0">
          <wp:extent cx="1275975" cy="271145"/>
          <wp:effectExtent l="0" t="0" r="635" b="0"/>
          <wp:docPr id="2" name="Picture 2" descr="catad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catad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117" cy="2794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</w:t>
    </w:r>
    <w:r w:rsidRPr="00DB6501">
      <w:rPr>
        <w:sz w:val="40"/>
        <w:szCs w:val="40"/>
      </w:rPr>
      <w:t>Brief #</w:t>
    </w:r>
    <w:r>
      <w:rPr>
        <w:sz w:val="40"/>
        <w:szCs w:val="40"/>
      </w:rPr>
      <w:t>4</w:t>
    </w:r>
  </w:p>
  <w:p w14:paraId="39EF63EE" w14:textId="77777777" w:rsidR="0036564A" w:rsidRDefault="003656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D925" w14:textId="77777777" w:rsidR="0036564A" w:rsidRPr="00DB6501" w:rsidRDefault="0036564A" w:rsidP="0036564A">
    <w:pPr>
      <w:pStyle w:val="Header"/>
      <w:jc w:val="right"/>
    </w:pPr>
    <w:bookmarkStart w:id="1" w:name="_Hlk34734278"/>
    <w:r>
      <w:rPr>
        <w:noProof/>
      </w:rPr>
      <w:drawing>
        <wp:inline distT="0" distB="0" distL="0" distR="0" wp14:anchorId="5AAD3689" wp14:editId="42120B4C">
          <wp:extent cx="1275975" cy="271145"/>
          <wp:effectExtent l="0" t="0" r="635" b="0"/>
          <wp:docPr id="4" name="Picture 4" descr="catad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catad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117" cy="2794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</w:t>
    </w:r>
    <w:r w:rsidRPr="00DB6501">
      <w:rPr>
        <w:sz w:val="40"/>
        <w:szCs w:val="40"/>
      </w:rPr>
      <w:t>Brief #</w:t>
    </w:r>
    <w:r>
      <w:rPr>
        <w:sz w:val="40"/>
        <w:szCs w:val="40"/>
      </w:rPr>
      <w:t>4</w:t>
    </w:r>
  </w:p>
  <w:bookmarkEnd w:id="1"/>
  <w:p w14:paraId="592A8A1C" w14:textId="77777777" w:rsidR="0036564A" w:rsidRDefault="003656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2C"/>
    <w:rsid w:val="001038A5"/>
    <w:rsid w:val="002D2006"/>
    <w:rsid w:val="003279EB"/>
    <w:rsid w:val="0036564A"/>
    <w:rsid w:val="003B092E"/>
    <w:rsid w:val="00586349"/>
    <w:rsid w:val="008036F0"/>
    <w:rsid w:val="00842C4B"/>
    <w:rsid w:val="009401D3"/>
    <w:rsid w:val="009D35FF"/>
    <w:rsid w:val="00A05736"/>
    <w:rsid w:val="00A90403"/>
    <w:rsid w:val="00BB1C2C"/>
    <w:rsid w:val="00CB508C"/>
    <w:rsid w:val="00CB7B20"/>
    <w:rsid w:val="00D52A98"/>
    <w:rsid w:val="00E15104"/>
    <w:rsid w:val="00F1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1010"/>
  <w15:chartTrackingRefBased/>
  <w15:docId w15:val="{2D02C1B6-60C0-4F52-B84A-8A9EC1AD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C2C"/>
    <w:pPr>
      <w:spacing w:after="0" w:line="240" w:lineRule="auto"/>
    </w:pPr>
    <w:rPr>
      <w:rFonts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C2C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C2C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C2C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1C2C"/>
    <w:pPr>
      <w:keepNext/>
      <w:keepLines/>
      <w:spacing w:before="40" w:line="259" w:lineRule="auto"/>
      <w:outlineLvl w:val="3"/>
    </w:pPr>
    <w:rPr>
      <w:rFonts w:eastAsiaTheme="majorEastAsia" w:cstheme="majorBidi"/>
      <w:i/>
      <w:i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C2C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C2C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1C2C"/>
    <w:rPr>
      <w:rFonts w:eastAsiaTheme="majorEastAsia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B1C2C"/>
    <w:rPr>
      <w:rFonts w:eastAsiaTheme="majorEastAsia" w:cstheme="majorBidi"/>
      <w:i/>
      <w:iCs/>
      <w:color w:val="000000" w:themeColor="text1"/>
      <w:sz w:val="22"/>
    </w:rPr>
  </w:style>
  <w:style w:type="character" w:styleId="Hyperlink">
    <w:name w:val="Hyperlink"/>
    <w:basedOn w:val="DefaultParagraphFont"/>
    <w:uiPriority w:val="99"/>
    <w:unhideWhenUsed/>
    <w:rsid w:val="00BB1C2C"/>
    <w:rPr>
      <w:color w:val="0563C1" w:themeColor="hyperlink"/>
      <w:u w:val="single"/>
    </w:rPr>
  </w:style>
  <w:style w:type="character" w:customStyle="1" w:styleId="A16">
    <w:name w:val="A16"/>
    <w:uiPriority w:val="99"/>
    <w:rsid w:val="00BB1C2C"/>
    <w:rPr>
      <w:rFonts w:cs="Myriad Pro"/>
      <w:color w:val="000000"/>
      <w:sz w:val="15"/>
      <w:szCs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BB1C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564A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6564A"/>
    <w:rPr>
      <w:sz w:val="20"/>
      <w:szCs w:val="22"/>
    </w:rPr>
  </w:style>
  <w:style w:type="paragraph" w:styleId="Footer">
    <w:name w:val="footer"/>
    <w:basedOn w:val="Normal"/>
    <w:link w:val="FooterChar"/>
    <w:uiPriority w:val="99"/>
    <w:unhideWhenUsed/>
    <w:rsid w:val="003656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64A"/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7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tada.info/assets/files/State-Grant-for-AT-Annual-Progress-Report-APR-OMB-approved-Dec-2017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klaurin</dc:creator>
  <cp:keywords/>
  <dc:description/>
  <cp:lastModifiedBy>Diane</cp:lastModifiedBy>
  <cp:revision>10</cp:revision>
  <dcterms:created xsi:type="dcterms:W3CDTF">2020-03-09T18:36:00Z</dcterms:created>
  <dcterms:modified xsi:type="dcterms:W3CDTF">2020-03-10T17:24:00Z</dcterms:modified>
</cp:coreProperties>
</file>