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15C1" w14:textId="3BAE8EDB" w:rsidR="00942E4B" w:rsidRPr="00685D42" w:rsidRDefault="00D87B50" w:rsidP="00685D42">
      <w:pPr>
        <w:pStyle w:val="Heading3"/>
        <w:jc w:val="center"/>
        <w:rPr>
          <w:rFonts w:ascii="Verdana" w:hAnsi="Verdana"/>
          <w:b/>
          <w:sz w:val="44"/>
          <w:szCs w:val="44"/>
        </w:rPr>
      </w:pPr>
      <w:r>
        <w:rPr>
          <w:rFonts w:ascii="Verdana" w:hAnsi="Verdana"/>
          <w:b/>
          <w:noProof/>
          <w:sz w:val="44"/>
          <w:szCs w:val="44"/>
        </w:rPr>
        <w:drawing>
          <wp:inline distT="0" distB="0" distL="0" distR="0" wp14:anchorId="3E2F2F81" wp14:editId="2EA700BC">
            <wp:extent cx="3838982" cy="750570"/>
            <wp:effectExtent l="0" t="0" r="0" b="0"/>
            <wp:docPr id="1" name="Picture 1" descr="Catada Logo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tada Logo&#10;&#10;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248" cy="7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1138" w14:textId="30FD0BEC" w:rsidR="00E2165A" w:rsidRPr="00E419CE" w:rsidRDefault="00E2165A" w:rsidP="00E419CE">
      <w:pPr>
        <w:pStyle w:val="Title"/>
        <w:rPr>
          <w:sz w:val="50"/>
          <w:szCs w:val="50"/>
        </w:rPr>
      </w:pPr>
      <w:r w:rsidRPr="00E419CE">
        <w:rPr>
          <w:sz w:val="50"/>
          <w:szCs w:val="50"/>
        </w:rPr>
        <w:t xml:space="preserve">Annual AT Data </w:t>
      </w:r>
      <w:r w:rsidR="00E419CE" w:rsidRPr="00E419CE">
        <w:rPr>
          <w:sz w:val="50"/>
          <w:szCs w:val="50"/>
        </w:rPr>
        <w:t xml:space="preserve">&amp; </w:t>
      </w:r>
      <w:r w:rsidRPr="00E419CE">
        <w:rPr>
          <w:sz w:val="50"/>
          <w:szCs w:val="50"/>
        </w:rPr>
        <w:t>Fiscal Calendar</w:t>
      </w:r>
    </w:p>
    <w:p w14:paraId="510C4844" w14:textId="77777777" w:rsidR="00E2165A" w:rsidRPr="0014246A" w:rsidRDefault="00E2165A" w:rsidP="00E2165A">
      <w:pPr>
        <w:rPr>
          <w:sz w:val="16"/>
          <w:szCs w:val="16"/>
        </w:rPr>
      </w:pPr>
    </w:p>
    <w:p w14:paraId="5F3D3803" w14:textId="77777777" w:rsidR="00E2165A" w:rsidRPr="00E419CE" w:rsidRDefault="00E2165A" w:rsidP="00E419CE">
      <w:pPr>
        <w:pStyle w:val="Heading1"/>
      </w:pPr>
      <w:r w:rsidRPr="00E419CE">
        <w:t xml:space="preserve">October </w:t>
      </w:r>
    </w:p>
    <w:p w14:paraId="4A9AA6BA" w14:textId="77777777" w:rsidR="00E2165A" w:rsidRPr="00E2165A" w:rsidRDefault="00E2165A" w:rsidP="00E2165A">
      <w:pPr>
        <w:pStyle w:val="ListBullet"/>
      </w:pPr>
      <w:r w:rsidRPr="00E2165A">
        <w:rPr>
          <w:u w:val="single"/>
        </w:rPr>
        <w:t>Day 1</w:t>
      </w:r>
      <w:r w:rsidRPr="00E2165A">
        <w:t xml:space="preserve">. Start of new federal fiscal year (FFY), Oct 1 through Sept 30. FFY is named by the second half of the year (the longer nine-month portion, e.g., FFY2020 is 10/1/19–9/30/20).  </w:t>
      </w:r>
    </w:p>
    <w:p w14:paraId="29FB0D08" w14:textId="77777777" w:rsidR="00E2165A" w:rsidRPr="00E2165A" w:rsidRDefault="00E2165A" w:rsidP="00E2165A">
      <w:pPr>
        <w:pStyle w:val="ListBullet"/>
      </w:pPr>
      <w:r w:rsidRPr="00D93B31">
        <w:rPr>
          <w:u w:val="single"/>
        </w:rPr>
        <w:t>Before end of month.</w:t>
      </w:r>
      <w:r w:rsidRPr="00E2165A">
        <w:t xml:space="preserve"> Review prior-year APR cumulative data to ensure accuracy and validity. Only data still unavailable might be performance measures, especially for device loans just “closed.” </w:t>
      </w:r>
    </w:p>
    <w:p w14:paraId="1F2FAF1F" w14:textId="77777777" w:rsidR="00E2165A" w:rsidRPr="0014246A" w:rsidRDefault="00E2165A" w:rsidP="00E2165A">
      <w:pPr>
        <w:rPr>
          <w:sz w:val="16"/>
          <w:szCs w:val="16"/>
        </w:rPr>
      </w:pPr>
    </w:p>
    <w:p w14:paraId="035DE91E" w14:textId="77777777" w:rsidR="00E2165A" w:rsidRPr="00E419CE" w:rsidRDefault="00E2165A" w:rsidP="00E419CE">
      <w:pPr>
        <w:pStyle w:val="Heading1"/>
      </w:pPr>
      <w:r w:rsidRPr="00E419CE">
        <w:t>November</w:t>
      </w:r>
    </w:p>
    <w:p w14:paraId="44C4E7DC" w14:textId="77777777" w:rsidR="00E2165A" w:rsidRPr="00E2165A" w:rsidRDefault="00E2165A" w:rsidP="00E2165A">
      <w:pPr>
        <w:pStyle w:val="ListBullet"/>
      </w:pPr>
      <w:r w:rsidRPr="00D93B31">
        <w:rPr>
          <w:u w:val="single"/>
        </w:rPr>
        <w:t>Before end of month</w:t>
      </w:r>
      <w:r w:rsidRPr="00E2165A">
        <w:t xml:space="preserve">. Review current-year APR data to ensure consistency, accuracy, and currency of data collected and reported internally and by subcontractors. </w:t>
      </w:r>
    </w:p>
    <w:p w14:paraId="50FFB318" w14:textId="77777777" w:rsidR="00E2165A" w:rsidRPr="00E2165A" w:rsidRDefault="00E2165A" w:rsidP="00E2165A">
      <w:pPr>
        <w:pStyle w:val="ListBullet"/>
      </w:pPr>
      <w:r w:rsidRPr="00D93B31">
        <w:rPr>
          <w:u w:val="single"/>
        </w:rPr>
        <w:t>Day 30</w:t>
      </w:r>
      <w:r w:rsidRPr="00E2165A">
        <w:t xml:space="preserve">. Target date for APR data </w:t>
      </w:r>
      <w:proofErr w:type="gramStart"/>
      <w:r w:rsidRPr="00E2165A">
        <w:t>entered into</w:t>
      </w:r>
      <w:proofErr w:type="gramEnd"/>
      <w:r w:rsidRPr="00E2165A">
        <w:t xml:space="preserve"> NATADS, validated, and ready to submit. Request CATADA staff review of data before final submission. </w:t>
      </w:r>
    </w:p>
    <w:p w14:paraId="7C868731" w14:textId="77777777" w:rsidR="00E2165A" w:rsidRPr="0014246A" w:rsidRDefault="00E2165A" w:rsidP="00E2165A">
      <w:pPr>
        <w:rPr>
          <w:sz w:val="16"/>
          <w:szCs w:val="16"/>
        </w:rPr>
      </w:pPr>
    </w:p>
    <w:p w14:paraId="4FFD5D15" w14:textId="77777777" w:rsidR="00E2165A" w:rsidRPr="00E419CE" w:rsidRDefault="00E2165A" w:rsidP="00E419CE">
      <w:pPr>
        <w:pStyle w:val="Heading1"/>
      </w:pPr>
      <w:r w:rsidRPr="00E419CE">
        <w:t xml:space="preserve">December </w:t>
      </w:r>
    </w:p>
    <w:p w14:paraId="45E8D940" w14:textId="77777777" w:rsidR="00E2165A" w:rsidRDefault="00E2165A" w:rsidP="00E2165A">
      <w:pPr>
        <w:pStyle w:val="ListBullet"/>
      </w:pPr>
      <w:r w:rsidRPr="00F023D9">
        <w:rPr>
          <w:u w:val="single"/>
        </w:rPr>
        <w:t>First week of month</w:t>
      </w:r>
      <w:r>
        <w:t xml:space="preserve">. </w:t>
      </w:r>
      <w:r w:rsidRPr="00CC781C">
        <w:t xml:space="preserve">Target </w:t>
      </w:r>
      <w:r>
        <w:t xml:space="preserve">this week </w:t>
      </w:r>
      <w:r w:rsidRPr="00CC781C">
        <w:t xml:space="preserve">to </w:t>
      </w:r>
      <w:r>
        <w:t xml:space="preserve">address any issues identified by CATADA, review and </w:t>
      </w:r>
      <w:r w:rsidRPr="00CC781C">
        <w:t>secure final approval</w:t>
      </w:r>
      <w:r>
        <w:t xml:space="preserve"> from authorized representative.  </w:t>
      </w:r>
    </w:p>
    <w:p w14:paraId="10E3584D" w14:textId="77777777" w:rsidR="00E2165A" w:rsidRDefault="00E2165A" w:rsidP="00E2165A">
      <w:pPr>
        <w:pStyle w:val="ListBullet"/>
      </w:pPr>
      <w:r w:rsidRPr="00F023D9">
        <w:rPr>
          <w:u w:val="single"/>
        </w:rPr>
        <w:t>Mid-month</w:t>
      </w:r>
      <w:r>
        <w:t>. M</w:t>
      </w:r>
      <w:r w:rsidRPr="00CC781C">
        <w:t>ark APR data complete and submit in NATADS.</w:t>
      </w:r>
    </w:p>
    <w:p w14:paraId="7CBF3299" w14:textId="77777777" w:rsidR="00E2165A" w:rsidRPr="00F023D9" w:rsidRDefault="00E2165A" w:rsidP="00E2165A">
      <w:pPr>
        <w:pStyle w:val="ListBullet"/>
      </w:pPr>
      <w:r w:rsidRPr="00F023D9">
        <w:rPr>
          <w:u w:val="single"/>
        </w:rPr>
        <w:t>Day 31</w:t>
      </w:r>
      <w:r>
        <w:t xml:space="preserve">. </w:t>
      </w:r>
      <w:r w:rsidRPr="00F023D9">
        <w:rPr>
          <w:b/>
        </w:rPr>
        <w:t xml:space="preserve">APR data reporting deadline for previous fiscal year data. All carryover </w:t>
      </w:r>
      <w:r>
        <w:rPr>
          <w:b/>
        </w:rPr>
        <w:t>FY</w:t>
      </w:r>
      <w:r w:rsidRPr="00F023D9">
        <w:rPr>
          <w:b/>
        </w:rPr>
        <w:t xml:space="preserve"> award funds MUST be liquidated! Verify full liquidation with </w:t>
      </w:r>
      <w:r>
        <w:rPr>
          <w:b/>
        </w:rPr>
        <w:t xml:space="preserve">PMS </w:t>
      </w:r>
      <w:r w:rsidRPr="00F023D9">
        <w:rPr>
          <w:b/>
        </w:rPr>
        <w:t>print out</w:t>
      </w:r>
      <w:r>
        <w:rPr>
          <w:b/>
        </w:rPr>
        <w:t xml:space="preserve">. </w:t>
      </w:r>
    </w:p>
    <w:p w14:paraId="4E05135D" w14:textId="77777777" w:rsidR="00E2165A" w:rsidRPr="0014246A" w:rsidRDefault="00E2165A" w:rsidP="00E2165A">
      <w:pPr>
        <w:rPr>
          <w:sz w:val="16"/>
          <w:szCs w:val="16"/>
        </w:rPr>
      </w:pPr>
    </w:p>
    <w:p w14:paraId="33C4B353" w14:textId="77777777" w:rsidR="00E2165A" w:rsidRPr="00E419CE" w:rsidRDefault="00E2165A" w:rsidP="00E419CE">
      <w:pPr>
        <w:pStyle w:val="Heading1"/>
      </w:pPr>
      <w:r w:rsidRPr="00E419CE">
        <w:t xml:space="preserve">January </w:t>
      </w:r>
    </w:p>
    <w:p w14:paraId="1C203725" w14:textId="77777777" w:rsidR="00E2165A" w:rsidRPr="00E2165A" w:rsidRDefault="00E2165A" w:rsidP="00E2165A">
      <w:pPr>
        <w:pStyle w:val="ListBullet"/>
      </w:pPr>
      <w:r w:rsidRPr="00D93B31">
        <w:rPr>
          <w:u w:val="single"/>
        </w:rPr>
        <w:t>Variable Date</w:t>
      </w:r>
      <w:r w:rsidRPr="00E2165A">
        <w:t xml:space="preserve">. Review PMS first quarter report for all open FFY awards by asking fiscal office for print copy. Verify obligation and liquidation status of previous FFY award(s) — should be fully obligated and targeted to liquidate by April 1. Review first quarter of current FFY APR data to ensure fidelity of data collected internally and by contractors.  </w:t>
      </w:r>
    </w:p>
    <w:p w14:paraId="0D9CF607" w14:textId="77777777" w:rsidR="00E2165A" w:rsidRPr="003A7158" w:rsidRDefault="00E2165A" w:rsidP="00E419CE">
      <w:pPr>
        <w:pStyle w:val="Heading1"/>
        <w:rPr>
          <w:i/>
        </w:rPr>
      </w:pPr>
      <w:r>
        <w:t>March–June</w:t>
      </w:r>
      <w:r w:rsidRPr="003A7158">
        <w:t xml:space="preserve"> </w:t>
      </w:r>
    </w:p>
    <w:p w14:paraId="59972A9B" w14:textId="77777777" w:rsidR="00E2165A" w:rsidRPr="00E2165A" w:rsidRDefault="00E2165A" w:rsidP="00E2165A">
      <w:pPr>
        <w:pStyle w:val="ListBullet"/>
      </w:pPr>
      <w:r w:rsidRPr="00D93B31">
        <w:rPr>
          <w:u w:val="single"/>
        </w:rPr>
        <w:t>Variable Date</w:t>
      </w:r>
      <w:r w:rsidRPr="00E2165A">
        <w:t xml:space="preserve">. State plan (three-year or annual update) typically due not later than end of June. Most recent previous advisory council meeting should address planned content and/or updates for state plan. </w:t>
      </w:r>
    </w:p>
    <w:p w14:paraId="1B954D6F" w14:textId="77777777" w:rsidR="00E2165A" w:rsidRPr="00E419CE" w:rsidRDefault="00E2165A" w:rsidP="00E419CE">
      <w:pPr>
        <w:pStyle w:val="Heading1"/>
      </w:pPr>
      <w:r w:rsidRPr="00E419CE">
        <w:lastRenderedPageBreak/>
        <w:t xml:space="preserve">April </w:t>
      </w:r>
    </w:p>
    <w:p w14:paraId="49C85BC3" w14:textId="77777777" w:rsidR="00E2165A" w:rsidRDefault="00E2165A" w:rsidP="00E2165A">
      <w:pPr>
        <w:pStyle w:val="ListBullet"/>
      </w:pPr>
      <w:r w:rsidRPr="00F023D9">
        <w:rPr>
          <w:u w:val="single"/>
        </w:rPr>
        <w:t>Day 1.</w:t>
      </w:r>
      <w:r>
        <w:t xml:space="preserve"> </w:t>
      </w:r>
      <w:r w:rsidRPr="006B5920">
        <w:t xml:space="preserve">Target for all carryover </w:t>
      </w:r>
      <w:r>
        <w:t>FFY</w:t>
      </w:r>
      <w:r w:rsidRPr="006B5920">
        <w:t xml:space="preserve"> award funds to be obligated and liquidated. Any carryover funds not liquidated must be rev</w:t>
      </w:r>
      <w:r>
        <w:t>i</w:t>
      </w:r>
      <w:r w:rsidRPr="006B5920">
        <w:t xml:space="preserve">ewed to ensure liquidation will occur </w:t>
      </w:r>
      <w:r>
        <w:t>as soon as possible</w:t>
      </w:r>
      <w:r w:rsidRPr="006B5920">
        <w:t>. De-obligate</w:t>
      </w:r>
      <w:r>
        <w:t>/</w:t>
      </w:r>
      <w:r w:rsidRPr="006B5920">
        <w:t xml:space="preserve">re-obligate funds to ensure all funding is obligated and can be liquidated </w:t>
      </w:r>
      <w:r>
        <w:t>on time</w:t>
      </w:r>
      <w:r w:rsidRPr="006B5920">
        <w:t>.</w:t>
      </w:r>
      <w:r>
        <w:t xml:space="preserve">  </w:t>
      </w:r>
    </w:p>
    <w:p w14:paraId="267529C6" w14:textId="77777777" w:rsidR="00E2165A" w:rsidRPr="00F023D9" w:rsidRDefault="00E2165A" w:rsidP="00E2165A">
      <w:pPr>
        <w:pStyle w:val="ListBullet"/>
      </w:pPr>
      <w:r w:rsidRPr="00F023D9">
        <w:rPr>
          <w:u w:val="single"/>
        </w:rPr>
        <w:t>Day 30</w:t>
      </w:r>
      <w:r>
        <w:t xml:space="preserve">. Review PMS second quarter report for both FFY awards and second quarter of </w:t>
      </w:r>
      <w:r w:rsidRPr="00E2154F">
        <w:t xml:space="preserve">current </w:t>
      </w:r>
      <w:r>
        <w:t xml:space="preserve">APR data. </w:t>
      </w:r>
    </w:p>
    <w:p w14:paraId="77D053EA" w14:textId="77777777" w:rsidR="00E2165A" w:rsidRPr="0014246A" w:rsidRDefault="00E2165A" w:rsidP="00E2165A">
      <w:pPr>
        <w:rPr>
          <w:sz w:val="16"/>
          <w:szCs w:val="16"/>
        </w:rPr>
      </w:pPr>
    </w:p>
    <w:p w14:paraId="0E3020B0" w14:textId="77777777" w:rsidR="00E2165A" w:rsidRPr="00CF5B1E" w:rsidRDefault="00E2165A" w:rsidP="00E419CE">
      <w:pPr>
        <w:pStyle w:val="Heading1"/>
        <w:rPr>
          <w:i/>
        </w:rPr>
      </w:pPr>
      <w:r w:rsidRPr="00CF5B1E">
        <w:t xml:space="preserve">July </w:t>
      </w:r>
    </w:p>
    <w:p w14:paraId="6762A9F8" w14:textId="77777777" w:rsidR="00E2165A" w:rsidRPr="00E2165A" w:rsidRDefault="00E2165A" w:rsidP="00E2165A">
      <w:pPr>
        <w:pStyle w:val="ListBullet"/>
      </w:pPr>
      <w:r w:rsidRPr="00D93B31">
        <w:rPr>
          <w:u w:val="single"/>
        </w:rPr>
        <w:t>Day 31.</w:t>
      </w:r>
      <w:r w:rsidRPr="00E2165A">
        <w:t xml:space="preserve"> Review PMS third quarter report for both FFY awards and third quarter of current APR data. </w:t>
      </w:r>
      <w:r w:rsidRPr="00E2165A">
        <w:rPr>
          <w:b/>
          <w:bCs/>
        </w:rPr>
        <w:t>Take immediate action to rectify any fiscal or data problems before September 30!</w:t>
      </w:r>
      <w:r w:rsidRPr="00E2165A">
        <w:t xml:space="preserve"> </w:t>
      </w:r>
    </w:p>
    <w:p w14:paraId="4F1F8B79" w14:textId="77777777" w:rsidR="00E2165A" w:rsidRPr="0014246A" w:rsidRDefault="00E2165A" w:rsidP="00E2165A">
      <w:pPr>
        <w:rPr>
          <w:sz w:val="16"/>
          <w:szCs w:val="16"/>
        </w:rPr>
      </w:pPr>
    </w:p>
    <w:p w14:paraId="08368EE1" w14:textId="77777777" w:rsidR="00E2165A" w:rsidRPr="003A7158" w:rsidRDefault="00E2165A" w:rsidP="00E419CE">
      <w:pPr>
        <w:pStyle w:val="Heading1"/>
        <w:rPr>
          <w:i/>
        </w:rPr>
      </w:pPr>
      <w:r w:rsidRPr="003A7158">
        <w:t xml:space="preserve">September </w:t>
      </w:r>
    </w:p>
    <w:p w14:paraId="30141320" w14:textId="77777777" w:rsidR="00E2165A" w:rsidRPr="00E2165A" w:rsidRDefault="00E2165A" w:rsidP="00E2165A">
      <w:pPr>
        <w:pStyle w:val="ListBullet"/>
      </w:pPr>
      <w:r w:rsidRPr="00D93B31">
        <w:rPr>
          <w:u w:val="single"/>
        </w:rPr>
        <w:t>Day 1</w:t>
      </w:r>
      <w:r w:rsidRPr="00E2165A">
        <w:t xml:space="preserve">. Review and verify liquidations for carryover fiscal year(s). Immediately take action to ensure obligation and liquidation. </w:t>
      </w:r>
    </w:p>
    <w:p w14:paraId="0D2E6DBF" w14:textId="77777777" w:rsidR="00E2165A" w:rsidRPr="00E2165A" w:rsidRDefault="00E2165A" w:rsidP="00E2165A">
      <w:pPr>
        <w:pStyle w:val="ListBullet"/>
      </w:pPr>
      <w:r w:rsidRPr="00D93B31">
        <w:rPr>
          <w:u w:val="single"/>
        </w:rPr>
        <w:t>Day 30</w:t>
      </w:r>
      <w:r w:rsidRPr="00E2165A">
        <w:t xml:space="preserve">. </w:t>
      </w:r>
      <w:r w:rsidRPr="00D93B31">
        <w:rPr>
          <w:b/>
          <w:bCs/>
        </w:rPr>
        <w:t>All carryover FFY funds MUST be obligated!</w:t>
      </w:r>
    </w:p>
    <w:p w14:paraId="4934F7ED" w14:textId="77777777" w:rsidR="00E2165A" w:rsidRDefault="00E2165A" w:rsidP="00E2165A">
      <w:pPr>
        <w:jc w:val="right"/>
        <w:rPr>
          <w:i/>
          <w:sz w:val="16"/>
          <w:szCs w:val="16"/>
        </w:rPr>
      </w:pPr>
    </w:p>
    <w:p w14:paraId="05A6D9A6" w14:textId="77777777" w:rsidR="00942E4B" w:rsidRDefault="00942E4B" w:rsidP="00D316EC">
      <w:pPr>
        <w:pStyle w:val="Title"/>
      </w:pPr>
    </w:p>
    <w:p w14:paraId="329956A2" w14:textId="60493EEC" w:rsidR="00BC5A7D" w:rsidRPr="00B7546F" w:rsidRDefault="00BC5A7D" w:rsidP="0038263E">
      <w:pPr>
        <w:jc w:val="right"/>
        <w:rPr>
          <w:rFonts w:ascii="Verdana" w:hAnsi="Verdana"/>
          <w:i/>
          <w:color w:val="0563C1" w:themeColor="hyperlink"/>
          <w:sz w:val="20"/>
          <w:szCs w:val="20"/>
          <w:u w:val="single"/>
        </w:rPr>
      </w:pPr>
      <w:r w:rsidRPr="00B7546F">
        <w:rPr>
          <w:rFonts w:ascii="Verdana" w:hAnsi="Verdana"/>
          <w:i/>
          <w:sz w:val="20"/>
          <w:szCs w:val="20"/>
        </w:rPr>
        <w:t xml:space="preserve">Last updated </w:t>
      </w:r>
      <w:r w:rsidR="00640423">
        <w:rPr>
          <w:rFonts w:ascii="Verdana" w:hAnsi="Verdana"/>
          <w:i/>
          <w:sz w:val="20"/>
          <w:szCs w:val="20"/>
        </w:rPr>
        <w:t xml:space="preserve">January </w:t>
      </w:r>
      <w:r w:rsidRPr="00B7546F">
        <w:rPr>
          <w:rFonts w:ascii="Verdana" w:hAnsi="Verdana"/>
          <w:i/>
          <w:sz w:val="20"/>
          <w:szCs w:val="20"/>
        </w:rPr>
        <w:t>20</w:t>
      </w:r>
      <w:r w:rsidR="00B7546F" w:rsidRPr="00B7546F">
        <w:rPr>
          <w:rFonts w:ascii="Verdana" w:hAnsi="Verdana"/>
          <w:i/>
          <w:sz w:val="20"/>
          <w:szCs w:val="20"/>
        </w:rPr>
        <w:t>2</w:t>
      </w:r>
      <w:r w:rsidR="00640423">
        <w:rPr>
          <w:rFonts w:ascii="Verdana" w:hAnsi="Verdana"/>
          <w:i/>
          <w:sz w:val="20"/>
          <w:szCs w:val="20"/>
        </w:rPr>
        <w:t>3</w:t>
      </w:r>
      <w:r w:rsidRPr="00B7546F">
        <w:rPr>
          <w:rStyle w:val="Hyperlink"/>
          <w:rFonts w:ascii="Verdana" w:hAnsi="Verdana"/>
          <w:i/>
          <w:sz w:val="20"/>
          <w:szCs w:val="20"/>
        </w:rPr>
        <w:t xml:space="preserve"> </w:t>
      </w:r>
    </w:p>
    <w:sectPr w:rsidR="00BC5A7D" w:rsidRPr="00B7546F" w:rsidSect="007E46D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92FA2" w14:textId="77777777" w:rsidR="008C76E0" w:rsidRDefault="008C76E0" w:rsidP="00B7546F">
      <w:r>
        <w:separator/>
      </w:r>
    </w:p>
  </w:endnote>
  <w:endnote w:type="continuationSeparator" w:id="0">
    <w:p w14:paraId="5C73CD62" w14:textId="77777777" w:rsidR="008C76E0" w:rsidRDefault="008C76E0" w:rsidP="00B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Segoe U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50353661"/>
      <w:docPartObj>
        <w:docPartGallery w:val="Page Numbers (Bottom of Page)"/>
        <w:docPartUnique/>
      </w:docPartObj>
    </w:sdtPr>
    <w:sdtContent>
      <w:p w14:paraId="4EF2D8FC" w14:textId="4297DCAE" w:rsidR="00E2165A" w:rsidRDefault="00E2165A" w:rsidP="006B21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10A766" w14:textId="77777777" w:rsidR="00E2165A" w:rsidRDefault="00E2165A" w:rsidP="00E216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49401813"/>
      <w:docPartObj>
        <w:docPartGallery w:val="Page Numbers (Bottom of Page)"/>
        <w:docPartUnique/>
      </w:docPartObj>
    </w:sdtPr>
    <w:sdtContent>
      <w:p w14:paraId="351D6C2A" w14:textId="584E4767" w:rsidR="00E2165A" w:rsidRDefault="00E2165A" w:rsidP="006B21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7A69929" w14:textId="4F1908C9" w:rsidR="009729E4" w:rsidRPr="007709AA" w:rsidRDefault="009729E4" w:rsidP="00E2165A">
    <w:pPr>
      <w:pStyle w:val="Footer"/>
      <w:ind w:right="360"/>
    </w:pPr>
    <w:r w:rsidRPr="007709AA">
      <w:rPr>
        <w:rFonts w:eastAsiaTheme="minorHAnsi"/>
      </w:rPr>
      <w:t>CATADA R</w:t>
    </w:r>
    <w:r w:rsidR="00054A8D">
      <w:rPr>
        <w:rFonts w:eastAsiaTheme="minorHAnsi"/>
      </w:rPr>
      <w:t>esource Brief</w:t>
    </w:r>
    <w:r w:rsidRPr="007709AA">
      <w:rPr>
        <w:rFonts w:eastAsiaTheme="minorHAnsi"/>
      </w:rPr>
      <w:t xml:space="preserve"> #</w:t>
    </w:r>
    <w:r w:rsidR="00E2165A">
      <w:rPr>
        <w:rFonts w:eastAsiaTheme="minorHAnsi"/>
      </w:rPr>
      <w:t>6</w:t>
    </w:r>
    <w:r w:rsidRPr="007709AA">
      <w:rPr>
        <w:rFonts w:eastAsiaTheme="minorHAnsi"/>
      </w:rPr>
      <w:t xml:space="preserve">: </w:t>
    </w:r>
    <w:r w:rsidR="00E2165A" w:rsidRPr="00E2165A">
      <w:rPr>
        <w:rFonts w:eastAsiaTheme="minorHAnsi"/>
      </w:rPr>
      <w:t xml:space="preserve">Annual AT Data </w:t>
    </w:r>
    <w:r w:rsidR="00A70828">
      <w:rPr>
        <w:rFonts w:eastAsiaTheme="minorHAnsi"/>
      </w:rPr>
      <w:t>&amp;</w:t>
    </w:r>
    <w:r w:rsidR="00E2165A" w:rsidRPr="00E2165A">
      <w:rPr>
        <w:rFonts w:eastAsiaTheme="minorHAnsi"/>
      </w:rPr>
      <w:t xml:space="preserve"> Fiscal Calendar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A4126" w14:textId="77777777" w:rsidR="008C76E0" w:rsidRDefault="008C76E0" w:rsidP="00B7546F">
      <w:r>
        <w:separator/>
      </w:r>
    </w:p>
  </w:footnote>
  <w:footnote w:type="continuationSeparator" w:id="0">
    <w:p w14:paraId="46699319" w14:textId="77777777" w:rsidR="008C76E0" w:rsidRDefault="008C76E0" w:rsidP="00B75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C3E5A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535934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2E0"/>
    <w:rsid w:val="00054A8D"/>
    <w:rsid w:val="000659D2"/>
    <w:rsid w:val="000816DD"/>
    <w:rsid w:val="0008289C"/>
    <w:rsid w:val="00085B35"/>
    <w:rsid w:val="00191DD9"/>
    <w:rsid w:val="001E0B24"/>
    <w:rsid w:val="002461DE"/>
    <w:rsid w:val="003463AB"/>
    <w:rsid w:val="0038263E"/>
    <w:rsid w:val="0038467A"/>
    <w:rsid w:val="00391D44"/>
    <w:rsid w:val="003E529D"/>
    <w:rsid w:val="00435DFD"/>
    <w:rsid w:val="00491F46"/>
    <w:rsid w:val="0049566E"/>
    <w:rsid w:val="00581A29"/>
    <w:rsid w:val="005D7CA6"/>
    <w:rsid w:val="00640423"/>
    <w:rsid w:val="00685D42"/>
    <w:rsid w:val="006B16F4"/>
    <w:rsid w:val="0071057A"/>
    <w:rsid w:val="00752570"/>
    <w:rsid w:val="007709AA"/>
    <w:rsid w:val="00774033"/>
    <w:rsid w:val="00787F73"/>
    <w:rsid w:val="007D772B"/>
    <w:rsid w:val="007E3CBA"/>
    <w:rsid w:val="007E46DA"/>
    <w:rsid w:val="00804055"/>
    <w:rsid w:val="008110BC"/>
    <w:rsid w:val="00885B9C"/>
    <w:rsid w:val="008C76E0"/>
    <w:rsid w:val="00942E4B"/>
    <w:rsid w:val="009729E4"/>
    <w:rsid w:val="009F5B15"/>
    <w:rsid w:val="009F6142"/>
    <w:rsid w:val="00A57879"/>
    <w:rsid w:val="00A70828"/>
    <w:rsid w:val="00AB7B6F"/>
    <w:rsid w:val="00AE09CB"/>
    <w:rsid w:val="00B23965"/>
    <w:rsid w:val="00B55F4F"/>
    <w:rsid w:val="00B732E0"/>
    <w:rsid w:val="00B74AF4"/>
    <w:rsid w:val="00B7546F"/>
    <w:rsid w:val="00BB0321"/>
    <w:rsid w:val="00BC0F2D"/>
    <w:rsid w:val="00BC5A7D"/>
    <w:rsid w:val="00BD250E"/>
    <w:rsid w:val="00BF40D5"/>
    <w:rsid w:val="00CA3870"/>
    <w:rsid w:val="00CF2283"/>
    <w:rsid w:val="00D316EC"/>
    <w:rsid w:val="00D87B50"/>
    <w:rsid w:val="00D93B31"/>
    <w:rsid w:val="00DE7960"/>
    <w:rsid w:val="00E2165A"/>
    <w:rsid w:val="00E34C40"/>
    <w:rsid w:val="00E419CE"/>
    <w:rsid w:val="00E91967"/>
    <w:rsid w:val="00EA0814"/>
    <w:rsid w:val="00F3349E"/>
    <w:rsid w:val="00F707B9"/>
    <w:rsid w:val="00FC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15AF"/>
  <w15:docId w15:val="{145E5A23-EFAD-419A-B54F-1AB8606B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2E0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9E4"/>
    <w:pPr>
      <w:keepNext/>
      <w:keepLines/>
      <w:spacing w:before="240" w:line="259" w:lineRule="auto"/>
      <w:outlineLvl w:val="0"/>
    </w:pPr>
    <w:rPr>
      <w:rFonts w:ascii="Verdana" w:eastAsiaTheme="majorEastAsia" w:hAnsi="Verdan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D42"/>
    <w:pPr>
      <w:keepNext/>
      <w:keepLines/>
      <w:spacing w:before="40" w:line="259" w:lineRule="auto"/>
      <w:outlineLvl w:val="1"/>
    </w:pPr>
    <w:rPr>
      <w:rFonts w:ascii="Verdana" w:eastAsiaTheme="majorEastAsia" w:hAnsi="Verdana" w:cstheme="majorBidi"/>
      <w:i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6F4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1F46"/>
    <w:pPr>
      <w:keepNext/>
      <w:keepLines/>
      <w:spacing w:before="40" w:line="259" w:lineRule="auto"/>
      <w:outlineLvl w:val="3"/>
    </w:pPr>
    <w:rPr>
      <w:rFonts w:eastAsiaTheme="majorEastAsia" w:cstheme="majorBidi"/>
      <w:i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16F4"/>
    <w:pPr>
      <w:keepNext/>
      <w:keepLines/>
      <w:spacing w:before="40" w:line="259" w:lineRule="auto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BF40D5"/>
    <w:rPr>
      <w:rFonts w:eastAsiaTheme="majorEastAsia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F40D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9729E4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D42"/>
    <w:rPr>
      <w:rFonts w:eastAsiaTheme="majorEastAsia" w:cstheme="majorBidi"/>
      <w:i/>
      <w:color w:val="C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91F46"/>
    <w:rPr>
      <w:rFonts w:eastAsiaTheme="majorEastAsia" w:cstheme="majorBidi"/>
      <w:i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B16F4"/>
    <w:rPr>
      <w:rFonts w:eastAsiaTheme="majorEastAsia" w:cstheme="majorBid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6B16F4"/>
    <w:rPr>
      <w:rFonts w:eastAsiaTheme="majorEastAsia" w:cstheme="majorBidi"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16EC"/>
    <w:pPr>
      <w:contextualSpacing/>
      <w:jc w:val="center"/>
    </w:pPr>
    <w:rPr>
      <w:rFonts w:ascii="Verdana" w:eastAsiaTheme="majorEastAsia" w:hAnsi="Verdan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6EC"/>
    <w:rPr>
      <w:rFonts w:eastAsiaTheme="majorEastAsia" w:cstheme="majorBidi"/>
      <w:b/>
      <w:spacing w:val="-10"/>
      <w:kern w:val="28"/>
      <w:sz w:val="52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2461DE"/>
    <w:pPr>
      <w:spacing w:after="120"/>
    </w:pPr>
    <w:rPr>
      <w:rFonts w:ascii="Verdana" w:hAnsi="Verdana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461DE"/>
    <w:rPr>
      <w:rFonts w:eastAsia="Times New Roman"/>
      <w:sz w:val="22"/>
    </w:rPr>
  </w:style>
  <w:style w:type="paragraph" w:styleId="BodyTextFirstIndent">
    <w:name w:val="Body Text First Indent"/>
    <w:basedOn w:val="BodyText"/>
    <w:link w:val="BodyTextFirstIndentChar"/>
    <w:rsid w:val="00B732E0"/>
    <w:pPr>
      <w:spacing w:before="60"/>
      <w:ind w:firstLine="432"/>
    </w:pPr>
    <w:rPr>
      <w:bCs/>
    </w:rPr>
  </w:style>
  <w:style w:type="character" w:customStyle="1" w:styleId="BodyTextFirstIndentChar">
    <w:name w:val="Body Text First Indent Char"/>
    <w:basedOn w:val="BodyTextChar"/>
    <w:link w:val="BodyTextFirstIndent"/>
    <w:rsid w:val="00B732E0"/>
    <w:rPr>
      <w:rFonts w:ascii="Times New Roman" w:eastAsia="Times New Roman" w:hAnsi="Times New Roman"/>
      <w:bCs/>
      <w:sz w:val="24"/>
    </w:rPr>
  </w:style>
  <w:style w:type="paragraph" w:styleId="ListParagraph">
    <w:name w:val="List Paragraph"/>
    <w:basedOn w:val="Normal"/>
    <w:uiPriority w:val="34"/>
    <w:qFormat/>
    <w:rsid w:val="00B732E0"/>
    <w:pPr>
      <w:spacing w:after="160" w:line="259" w:lineRule="auto"/>
      <w:ind w:left="720"/>
      <w:contextualSpacing/>
    </w:pPr>
    <w:rPr>
      <w:rFonts w:ascii="Verdana" w:eastAsiaTheme="minorHAnsi" w:hAnsi="Verdana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C5A7D"/>
    <w:rPr>
      <w:color w:val="0563C1" w:themeColor="hyperlink"/>
      <w:u w:val="single"/>
    </w:rPr>
  </w:style>
  <w:style w:type="character" w:customStyle="1" w:styleId="A16">
    <w:name w:val="A16"/>
    <w:uiPriority w:val="99"/>
    <w:rsid w:val="00BC5A7D"/>
    <w:rPr>
      <w:rFonts w:cs="Myriad Pro"/>
      <w:color w:val="000000"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F2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7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B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B6F"/>
    <w:rPr>
      <w:rFonts w:ascii="Times New Roman" w:eastAsia="Times New Roman" w:hAnsi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B6F"/>
    <w:rPr>
      <w:rFonts w:ascii="Times New Roman" w:eastAsia="Times New Roman" w:hAnsi="Times New Roman"/>
      <w:b/>
      <w:bCs/>
      <w:szCs w:val="20"/>
    </w:rPr>
  </w:style>
  <w:style w:type="paragraph" w:styleId="Revision">
    <w:name w:val="Revision"/>
    <w:hidden/>
    <w:uiPriority w:val="99"/>
    <w:semiHidden/>
    <w:rsid w:val="001E0B24"/>
    <w:rPr>
      <w:rFonts w:ascii="Times New Roman" w:eastAsia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B75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46F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75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46F"/>
    <w:rPr>
      <w:rFonts w:ascii="Times New Roman" w:eastAsia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E2165A"/>
  </w:style>
  <w:style w:type="paragraph" w:styleId="ListBullet">
    <w:name w:val="List Bullet"/>
    <w:basedOn w:val="Normal"/>
    <w:uiPriority w:val="99"/>
    <w:unhideWhenUsed/>
    <w:rsid w:val="00E2165A"/>
    <w:pPr>
      <w:numPr>
        <w:numId w:val="1"/>
      </w:numPr>
      <w:contextualSpacing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D62788-B8FA-6546-BED7-1C7F4900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Diane</dc:creator>
  <cp:lastModifiedBy>Daria Domin</cp:lastModifiedBy>
  <cp:revision>4</cp:revision>
  <dcterms:created xsi:type="dcterms:W3CDTF">2023-03-09T16:17:00Z</dcterms:created>
  <dcterms:modified xsi:type="dcterms:W3CDTF">2023-03-09T17:31:00Z</dcterms:modified>
</cp:coreProperties>
</file>