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32688" w14:textId="77777777" w:rsidR="00E71D97" w:rsidRPr="00582A70" w:rsidRDefault="00E71D97" w:rsidP="00E71D97">
      <w:pPr>
        <w:rPr>
          <w:rFonts w:ascii="Verdana" w:hAnsi="Verdana"/>
          <w:b/>
        </w:rPr>
      </w:pPr>
      <w:r w:rsidRPr="00582A70">
        <w:rPr>
          <w:rFonts w:ascii="Verdana" w:hAnsi="Verdana"/>
          <w:b/>
        </w:rPr>
        <w:t>Data Note</w:t>
      </w:r>
    </w:p>
    <w:p w14:paraId="2A89FED5" w14:textId="77777777" w:rsidR="00E71D97" w:rsidRPr="00582A70" w:rsidRDefault="00E71D97" w:rsidP="00E71D97">
      <w:pPr>
        <w:rPr>
          <w:rFonts w:ascii="Verdana" w:hAnsi="Verdana"/>
          <w:b/>
        </w:rPr>
      </w:pPr>
      <w:r w:rsidRPr="00582A70">
        <w:rPr>
          <w:rFonts w:ascii="Verdana" w:hAnsi="Verdana"/>
          <w:b/>
        </w:rPr>
        <w:t>Number 53, 2016</w:t>
      </w:r>
    </w:p>
    <w:p w14:paraId="0B01F98A" w14:textId="77777777" w:rsidR="00E71D97" w:rsidRPr="00582A70" w:rsidRDefault="00E71D97" w:rsidP="00E71D97">
      <w:pPr>
        <w:rPr>
          <w:rFonts w:ascii="Verdana" w:hAnsi="Verdana"/>
          <w:b/>
        </w:rPr>
      </w:pPr>
    </w:p>
    <w:p w14:paraId="65CED389" w14:textId="77777777" w:rsidR="00E71D97" w:rsidRPr="00582A70" w:rsidRDefault="00E71D97" w:rsidP="00E71D97">
      <w:pPr>
        <w:rPr>
          <w:rFonts w:ascii="Verdana" w:hAnsi="Verdana"/>
          <w:b/>
        </w:rPr>
      </w:pPr>
      <w:r w:rsidRPr="00582A70">
        <w:rPr>
          <w:rFonts w:ascii="Verdana" w:hAnsi="Verdana"/>
          <w:b/>
        </w:rPr>
        <w:t>Comparing VR Outcomes for Individuals With and Without Intellectual Disabilities Who Receive Postsecondary Education Services</w:t>
      </w:r>
    </w:p>
    <w:p w14:paraId="4A9615A5" w14:textId="77777777" w:rsidR="00E71D97" w:rsidRPr="00E71D97" w:rsidRDefault="00E71D97" w:rsidP="00E71D97">
      <w:pPr>
        <w:rPr>
          <w:rFonts w:ascii="Verdana" w:hAnsi="Verdana"/>
        </w:rPr>
      </w:pPr>
    </w:p>
    <w:p w14:paraId="7AC943D6" w14:textId="77777777" w:rsidR="00E71D97" w:rsidRPr="00E71D97" w:rsidRDefault="00E71D97" w:rsidP="00E71D97">
      <w:pPr>
        <w:rPr>
          <w:rFonts w:ascii="Verdana" w:hAnsi="Verdana"/>
        </w:rPr>
      </w:pPr>
      <w:r w:rsidRPr="00E71D97">
        <w:rPr>
          <w:rFonts w:ascii="Verdana" w:hAnsi="Verdana"/>
        </w:rPr>
        <w:t>By John Shepard and Frank A. Smith</w:t>
      </w:r>
    </w:p>
    <w:p w14:paraId="163C7456" w14:textId="77777777" w:rsidR="00E71D97" w:rsidRPr="00E71D97" w:rsidRDefault="00E71D97" w:rsidP="00E71D97">
      <w:pPr>
        <w:rPr>
          <w:rFonts w:ascii="Verdana" w:hAnsi="Verdana"/>
        </w:rPr>
      </w:pPr>
    </w:p>
    <w:p w14:paraId="2847CA01" w14:textId="77777777" w:rsidR="00E71D97" w:rsidRPr="00E71D97" w:rsidRDefault="00E71D97" w:rsidP="00E71D97">
      <w:pPr>
        <w:rPr>
          <w:rFonts w:ascii="Verdana" w:hAnsi="Verdana"/>
        </w:rPr>
      </w:pPr>
      <w:r w:rsidRPr="00E71D97">
        <w:rPr>
          <w:rFonts w:ascii="Verdana" w:hAnsi="Verdana"/>
        </w:rPr>
        <w:t>Data Source: FY 2014 Rehabilitation Services Administration (RSA) 911</w:t>
      </w:r>
    </w:p>
    <w:p w14:paraId="651D5C22" w14:textId="77777777" w:rsidR="00E71D97" w:rsidRPr="00E71D97" w:rsidRDefault="00E71D97" w:rsidP="00E71D97">
      <w:pPr>
        <w:rPr>
          <w:rFonts w:ascii="Verdana" w:hAnsi="Verdana"/>
        </w:rPr>
      </w:pPr>
    </w:p>
    <w:p w14:paraId="3264610A" w14:textId="77777777" w:rsidR="00E71D97" w:rsidRDefault="00E71D97" w:rsidP="00E71D97">
      <w:pPr>
        <w:rPr>
          <w:rFonts w:ascii="Verdana" w:hAnsi="Verdana"/>
        </w:rPr>
      </w:pPr>
      <w:r w:rsidRPr="00E71D97">
        <w:rPr>
          <w:rFonts w:ascii="Verdana" w:hAnsi="Verdana"/>
        </w:rPr>
        <w:t>VR agencies assist individuals with intellectual disabilities (ID) who are seeking gainful employment through evaluating their needs and then creating individualized plans for employment (IPEs) around those needs. Depending on the evaluation, one service that might be included within an IPE is postsecondary education (PSE) services. These include services that link individuals to opportunities to attend community college, 4-year universities, or graduate school.</w:t>
      </w:r>
      <w:bookmarkStart w:id="0" w:name="_GoBack"/>
      <w:bookmarkEnd w:id="0"/>
    </w:p>
    <w:p w14:paraId="4FEB8A8F" w14:textId="77777777" w:rsidR="00E71D97" w:rsidRPr="00E71D97" w:rsidRDefault="00E71D97" w:rsidP="00E71D97">
      <w:pPr>
        <w:rPr>
          <w:rFonts w:ascii="Verdana" w:hAnsi="Verdana"/>
        </w:rPr>
      </w:pPr>
    </w:p>
    <w:p w14:paraId="1A2F6632" w14:textId="77777777" w:rsidR="00E71D97" w:rsidRDefault="00E71D97" w:rsidP="00E71D97">
      <w:pPr>
        <w:rPr>
          <w:rFonts w:ascii="Verdana" w:hAnsi="Verdana"/>
        </w:rPr>
      </w:pPr>
      <w:r w:rsidRPr="00E71D97">
        <w:rPr>
          <w:rFonts w:ascii="Verdana" w:hAnsi="Verdana"/>
        </w:rPr>
        <w:t>Individuals’ data who have been serviced by VR reveal how common it is for people with and without ID to get services, and what types of services they receive, including PSE services. In this Data Note, we explore the provision of PSE services to VR customers with and without ID who exited the VR system in FY2014.</w:t>
      </w:r>
    </w:p>
    <w:p w14:paraId="27704244" w14:textId="77777777" w:rsidR="00E71D97" w:rsidRPr="00E71D97" w:rsidRDefault="00E71D97" w:rsidP="00E71D97">
      <w:pPr>
        <w:rPr>
          <w:rFonts w:ascii="Verdana" w:hAnsi="Verdana"/>
        </w:rPr>
      </w:pPr>
    </w:p>
    <w:p w14:paraId="18AAE3BA" w14:textId="77777777" w:rsidR="00E71D97" w:rsidRDefault="00E71D97" w:rsidP="00E71D97">
      <w:pPr>
        <w:rPr>
          <w:rFonts w:ascii="Verdana" w:hAnsi="Verdana"/>
        </w:rPr>
      </w:pPr>
      <w:r w:rsidRPr="00E71D97">
        <w:rPr>
          <w:rFonts w:ascii="Verdana" w:hAnsi="Verdana"/>
        </w:rPr>
        <w:t>Table 1 and Figure 1 compare the percentage of individuals with ID and without ID who have received PSE services prior to exiting the VR program. The RSA 911 dataset allows VR counselors to report the purchase of 3 types of PSE services: services to attend community college, services to attend 4-year colleges or universities, and services to attend graduate school. VR consumers can receive PSE services in 1 or more of these settings while in the VR program. Most who receive PSE services receive just 1 of the 3 services.</w:t>
      </w:r>
    </w:p>
    <w:p w14:paraId="6EEF12CF" w14:textId="77777777" w:rsidR="00E71D97" w:rsidRPr="00E71D97" w:rsidRDefault="00E71D97" w:rsidP="00E71D97">
      <w:pPr>
        <w:rPr>
          <w:rFonts w:ascii="Verdana" w:hAnsi="Verdana"/>
        </w:rPr>
      </w:pPr>
    </w:p>
    <w:p w14:paraId="64B190E6" w14:textId="77777777" w:rsidR="00E71D97" w:rsidRPr="00E71D97" w:rsidRDefault="00E71D97" w:rsidP="00E71D97">
      <w:pPr>
        <w:rPr>
          <w:rFonts w:ascii="Verdana" w:hAnsi="Verdana"/>
        </w:rPr>
      </w:pPr>
      <w:r w:rsidRPr="00E71D97">
        <w:rPr>
          <w:rFonts w:ascii="Verdana" w:hAnsi="Verdana"/>
        </w:rPr>
        <w:t>Table 1 shows the percentage of VR customers who received services under each PSE category, as well as the total percentage of VR customers who received any of the 3 types of PSE services, signified by the category “Received PSE Services.” Of all individuals with ID who received an IPE, 1.8% of these individuals received at least 1 of the PSE services, with most of them receiving services to attend community college. In comparison, 8.6% of all individuals who did not have ID received PSE services, with most of these individuals receiving services to attend a 4-year college or university.</w:t>
      </w:r>
    </w:p>
    <w:p w14:paraId="0B10B195" w14:textId="77777777" w:rsidR="00E71D97" w:rsidRPr="00E71D97" w:rsidRDefault="00E71D97" w:rsidP="00E71D97">
      <w:pPr>
        <w:rPr>
          <w:rFonts w:ascii="Verdana" w:hAnsi="Verdana"/>
        </w:rPr>
      </w:pPr>
    </w:p>
    <w:p w14:paraId="1A79556E" w14:textId="77777777" w:rsidR="00E71D97" w:rsidRPr="00E71D97" w:rsidRDefault="00E71D97" w:rsidP="00E71D97">
      <w:pPr>
        <w:rPr>
          <w:rFonts w:ascii="Verdana" w:hAnsi="Verdana"/>
        </w:rPr>
      </w:pPr>
      <w:r w:rsidRPr="00E71D97">
        <w:rPr>
          <w:rFonts w:ascii="Verdana" w:hAnsi="Verdana"/>
        </w:rPr>
        <w:lastRenderedPageBreak/>
        <w:t>Table 1.</w:t>
      </w:r>
    </w:p>
    <w:p w14:paraId="3BCF2E8F" w14:textId="77777777" w:rsidR="00E71D97" w:rsidRPr="00E71D97" w:rsidRDefault="00E71D97" w:rsidP="00E71D97">
      <w:pPr>
        <w:rPr>
          <w:rFonts w:ascii="Verdana" w:hAnsi="Verdana"/>
        </w:rPr>
      </w:pPr>
      <w:r w:rsidRPr="00E71D97">
        <w:rPr>
          <w:rFonts w:ascii="Verdana" w:hAnsi="Verdana"/>
        </w:rPr>
        <w:t>Individuals who Received PSE Services by Intellectual Disability Status</w:t>
      </w:r>
    </w:p>
    <w:tbl>
      <w:tblPr>
        <w:tblW w:w="9180" w:type="dxa"/>
        <w:tblInd w:w="90" w:type="dxa"/>
        <w:tblLayout w:type="fixed"/>
        <w:tblCellMar>
          <w:left w:w="0" w:type="dxa"/>
          <w:right w:w="0" w:type="dxa"/>
        </w:tblCellMar>
        <w:tblLook w:val="0000" w:firstRow="0" w:lastRow="0" w:firstColumn="0" w:lastColumn="0" w:noHBand="0" w:noVBand="0"/>
      </w:tblPr>
      <w:tblGrid>
        <w:gridCol w:w="3600"/>
        <w:gridCol w:w="1284"/>
        <w:gridCol w:w="1506"/>
        <w:gridCol w:w="1260"/>
        <w:gridCol w:w="1530"/>
      </w:tblGrid>
      <w:tr w:rsidR="00E71D97" w:rsidRPr="00E71D97" w14:paraId="728FFC78"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1639F660" w14:textId="77777777" w:rsidR="00E71D97" w:rsidRPr="00E71D97" w:rsidRDefault="00E71D97">
            <w:pPr>
              <w:pStyle w:val="NoParagraphStyle"/>
              <w:spacing w:line="240" w:lineRule="auto"/>
              <w:textAlignment w:val="auto"/>
              <w:rPr>
                <w:rFonts w:ascii="Verdana" w:hAnsi="Verdana"/>
                <w:color w:val="auto"/>
              </w:rPr>
            </w:pPr>
          </w:p>
        </w:tc>
        <w:tc>
          <w:tcPr>
            <w:tcW w:w="2790" w:type="dxa"/>
            <w:gridSpan w:val="2"/>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48AD6CDC" w14:textId="77777777" w:rsidR="00E71D97" w:rsidRPr="00E71D97" w:rsidRDefault="00E71D97">
            <w:pPr>
              <w:pStyle w:val="tableheaderwhitemyriadtables"/>
              <w:jc w:val="center"/>
              <w:rPr>
                <w:rFonts w:ascii="Verdana" w:hAnsi="Verdana"/>
                <w:color w:val="auto"/>
              </w:rPr>
            </w:pPr>
            <w:r w:rsidRPr="00E71D97">
              <w:rPr>
                <w:rFonts w:ascii="Verdana" w:hAnsi="Verdana"/>
                <w:color w:val="auto"/>
                <w:sz w:val="22"/>
                <w:szCs w:val="22"/>
              </w:rPr>
              <w:t>Closures with ID</w:t>
            </w:r>
          </w:p>
        </w:tc>
        <w:tc>
          <w:tcPr>
            <w:tcW w:w="2790" w:type="dxa"/>
            <w:gridSpan w:val="2"/>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4035FF4D" w14:textId="77777777" w:rsidR="00E71D97" w:rsidRPr="00E71D97" w:rsidRDefault="00E71D97">
            <w:pPr>
              <w:pStyle w:val="tableheaderwhitemyriadtables"/>
              <w:jc w:val="center"/>
              <w:rPr>
                <w:rFonts w:ascii="Verdana" w:hAnsi="Verdana"/>
                <w:color w:val="auto"/>
              </w:rPr>
            </w:pPr>
            <w:r w:rsidRPr="00E71D97">
              <w:rPr>
                <w:rFonts w:ascii="Verdana" w:hAnsi="Verdana"/>
                <w:color w:val="auto"/>
                <w:sz w:val="22"/>
                <w:szCs w:val="22"/>
              </w:rPr>
              <w:t>Closures with no ID</w:t>
            </w:r>
          </w:p>
        </w:tc>
      </w:tr>
      <w:tr w:rsidR="00E71D97" w:rsidRPr="00E71D97" w14:paraId="524D1D3E"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18D57D16" w14:textId="77777777" w:rsidR="00E71D97" w:rsidRPr="00E71D97" w:rsidRDefault="00E71D97">
            <w:pPr>
              <w:pStyle w:val="NoParagraphStyle"/>
              <w:spacing w:line="240" w:lineRule="auto"/>
              <w:textAlignment w:val="auto"/>
              <w:rPr>
                <w:rFonts w:ascii="Verdana" w:hAnsi="Verdana"/>
                <w:color w:val="auto"/>
              </w:rPr>
            </w:pPr>
          </w:p>
        </w:tc>
        <w:tc>
          <w:tcPr>
            <w:tcW w:w="1284"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512C6146" w14:textId="77777777" w:rsidR="00E71D97" w:rsidRPr="00E71D97" w:rsidRDefault="00E71D97">
            <w:pPr>
              <w:pStyle w:val="tableheaderwhitemyriadtables"/>
              <w:jc w:val="center"/>
              <w:rPr>
                <w:rFonts w:ascii="Verdana" w:hAnsi="Verdana"/>
                <w:color w:val="auto"/>
              </w:rPr>
            </w:pPr>
            <w:r w:rsidRPr="00E71D97">
              <w:rPr>
                <w:rFonts w:ascii="Verdana" w:hAnsi="Verdana"/>
                <w:color w:val="auto"/>
                <w:sz w:val="22"/>
                <w:szCs w:val="22"/>
              </w:rPr>
              <w:t>Count</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2E9CA1AF" w14:textId="77777777" w:rsidR="00E71D97" w:rsidRPr="00E71D97" w:rsidRDefault="00E71D97">
            <w:pPr>
              <w:pStyle w:val="tableheaderwhitemyriadtables"/>
              <w:jc w:val="center"/>
              <w:rPr>
                <w:rFonts w:ascii="Verdana" w:hAnsi="Verdana"/>
                <w:color w:val="auto"/>
              </w:rPr>
            </w:pPr>
            <w:r w:rsidRPr="00E71D97">
              <w:rPr>
                <w:rFonts w:ascii="Verdana" w:hAnsi="Verdana"/>
                <w:color w:val="auto"/>
                <w:sz w:val="22"/>
                <w:szCs w:val="22"/>
              </w:rPr>
              <w:t>Column %</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49F37597" w14:textId="77777777" w:rsidR="00E71D97" w:rsidRPr="00E71D97" w:rsidRDefault="00E71D97">
            <w:pPr>
              <w:pStyle w:val="tableheaderwhitemyriadtables"/>
              <w:jc w:val="center"/>
              <w:rPr>
                <w:rFonts w:ascii="Verdana" w:hAnsi="Verdana"/>
                <w:color w:val="auto"/>
              </w:rPr>
            </w:pPr>
            <w:r w:rsidRPr="00E71D97">
              <w:rPr>
                <w:rFonts w:ascii="Verdana" w:hAnsi="Verdana"/>
                <w:color w:val="auto"/>
                <w:sz w:val="22"/>
                <w:szCs w:val="22"/>
              </w:rPr>
              <w:t>Count</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1BF2F27B" w14:textId="77777777" w:rsidR="00E71D97" w:rsidRPr="00E71D97" w:rsidRDefault="00E71D97">
            <w:pPr>
              <w:pStyle w:val="tableheaderwhitemyriadtables"/>
              <w:jc w:val="center"/>
              <w:rPr>
                <w:rFonts w:ascii="Verdana" w:hAnsi="Verdana"/>
                <w:color w:val="auto"/>
              </w:rPr>
            </w:pPr>
            <w:r w:rsidRPr="00E71D97">
              <w:rPr>
                <w:rFonts w:ascii="Verdana" w:hAnsi="Verdana"/>
                <w:color w:val="auto"/>
                <w:sz w:val="22"/>
                <w:szCs w:val="22"/>
              </w:rPr>
              <w:t>Column %</w:t>
            </w:r>
          </w:p>
        </w:tc>
      </w:tr>
      <w:tr w:rsidR="00E71D97" w:rsidRPr="00E71D97" w14:paraId="5C95658F"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7367B514" w14:textId="77777777" w:rsidR="00E71D97" w:rsidRPr="00E71D97" w:rsidRDefault="00E71D97">
            <w:pPr>
              <w:pStyle w:val="tabletextmyriadtables"/>
              <w:jc w:val="left"/>
              <w:rPr>
                <w:rFonts w:ascii="Verdana" w:hAnsi="Verdana"/>
                <w:color w:val="auto"/>
              </w:rPr>
            </w:pPr>
            <w:r w:rsidRPr="00E71D97">
              <w:rPr>
                <w:rFonts w:ascii="Verdana" w:hAnsi="Verdana"/>
                <w:color w:val="auto"/>
              </w:rPr>
              <w:t>Community College Services</w:t>
            </w:r>
          </w:p>
        </w:tc>
        <w:tc>
          <w:tcPr>
            <w:tcW w:w="1284"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6C9AAD22"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476</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04F0EEB6"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1.1%</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2A026B40"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14,525</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39D93364"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3.1%</w:t>
            </w:r>
          </w:p>
        </w:tc>
      </w:tr>
      <w:tr w:rsidR="00E71D97" w:rsidRPr="00E71D97" w14:paraId="168722E6"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6A65FDCE" w14:textId="77777777" w:rsidR="00E71D97" w:rsidRPr="00E71D97" w:rsidRDefault="00E71D97">
            <w:pPr>
              <w:pStyle w:val="tabletextmyriadtables"/>
              <w:jc w:val="left"/>
              <w:rPr>
                <w:rFonts w:ascii="Verdana" w:hAnsi="Verdana"/>
                <w:color w:val="auto"/>
              </w:rPr>
            </w:pPr>
            <w:r w:rsidRPr="00E71D97">
              <w:rPr>
                <w:rFonts w:ascii="Verdana" w:hAnsi="Verdana"/>
                <w:color w:val="auto"/>
              </w:rPr>
              <w:t>4-year College Services</w:t>
            </w:r>
          </w:p>
        </w:tc>
        <w:tc>
          <w:tcPr>
            <w:tcW w:w="1284"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65C6C663"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310</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15B5BC27"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0.7%</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77FFE521"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26,567</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2F060F56"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5.8%</w:t>
            </w:r>
          </w:p>
        </w:tc>
      </w:tr>
      <w:tr w:rsidR="00E71D97" w:rsidRPr="00E71D97" w14:paraId="4EBCAF1C"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59527E10" w14:textId="77777777" w:rsidR="00E71D97" w:rsidRPr="00E71D97" w:rsidRDefault="00E71D97">
            <w:pPr>
              <w:pStyle w:val="tabletextmyriadtables"/>
              <w:jc w:val="left"/>
              <w:rPr>
                <w:rFonts w:ascii="Verdana" w:hAnsi="Verdana"/>
                <w:color w:val="auto"/>
              </w:rPr>
            </w:pPr>
            <w:r w:rsidRPr="00E71D97">
              <w:rPr>
                <w:rFonts w:ascii="Verdana" w:hAnsi="Verdana"/>
                <w:color w:val="auto"/>
              </w:rPr>
              <w:t>Graduate School Services</w:t>
            </w:r>
          </w:p>
        </w:tc>
        <w:tc>
          <w:tcPr>
            <w:tcW w:w="1284"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4CBB019B"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38</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3D397053"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0.1%</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5F96F1E6"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3,410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3CCAE4EA"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0.7%</w:t>
            </w:r>
          </w:p>
        </w:tc>
      </w:tr>
      <w:tr w:rsidR="00E71D97" w:rsidRPr="00E71D97" w14:paraId="53095B00"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3796B7AA" w14:textId="77777777" w:rsidR="00E71D97" w:rsidRPr="00E71D97" w:rsidRDefault="00E71D97">
            <w:pPr>
              <w:pStyle w:val="tabletextmyriadtables"/>
              <w:jc w:val="left"/>
              <w:rPr>
                <w:rFonts w:ascii="Verdana" w:hAnsi="Verdana"/>
                <w:color w:val="auto"/>
              </w:rPr>
            </w:pPr>
            <w:r w:rsidRPr="00E71D97">
              <w:rPr>
                <w:rFonts w:ascii="Verdana" w:hAnsi="Verdana"/>
                <w:color w:val="auto"/>
              </w:rPr>
              <w:t>Subtotal – Received PSE Services*</w:t>
            </w:r>
          </w:p>
        </w:tc>
        <w:tc>
          <w:tcPr>
            <w:tcW w:w="1284"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2C10BD37"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759</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1937B343"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1.8%</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08E4C15F"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40,065</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90" w:type="dxa"/>
              <w:left w:w="90" w:type="dxa"/>
              <w:bottom w:w="90" w:type="dxa"/>
              <w:right w:w="90" w:type="dxa"/>
            </w:tcMar>
          </w:tcPr>
          <w:p w14:paraId="4ADB1D8C"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8.6%</w:t>
            </w:r>
          </w:p>
        </w:tc>
      </w:tr>
      <w:tr w:rsidR="00E71D97" w:rsidRPr="00E71D97" w14:paraId="66F57909" w14:textId="77777777" w:rsidTr="00E71D97">
        <w:tblPrEx>
          <w:tblCellMar>
            <w:top w:w="0" w:type="dxa"/>
            <w:left w:w="0" w:type="dxa"/>
            <w:bottom w:w="0" w:type="dxa"/>
            <w:right w:w="0" w:type="dxa"/>
          </w:tblCellMar>
        </w:tblPrEx>
        <w:trPr>
          <w:trHeight w:val="60"/>
        </w:trPr>
        <w:tc>
          <w:tcPr>
            <w:tcW w:w="3600" w:type="dxa"/>
            <w:tcBorders>
              <w:top w:val="single" w:sz="6"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28F4F25B" w14:textId="77777777" w:rsidR="00E71D97" w:rsidRPr="00E71D97" w:rsidRDefault="00E71D97">
            <w:pPr>
              <w:pStyle w:val="tabletextmyriadtables"/>
              <w:jc w:val="left"/>
              <w:rPr>
                <w:rFonts w:ascii="Verdana" w:hAnsi="Verdana"/>
                <w:color w:val="auto"/>
              </w:rPr>
            </w:pPr>
            <w:r w:rsidRPr="00E71D97">
              <w:rPr>
                <w:rFonts w:ascii="Verdana" w:hAnsi="Verdana"/>
                <w:color w:val="auto"/>
              </w:rPr>
              <w:t>No PSE Services</w:t>
            </w:r>
          </w:p>
        </w:tc>
        <w:tc>
          <w:tcPr>
            <w:tcW w:w="1284" w:type="dxa"/>
            <w:tcBorders>
              <w:top w:val="single" w:sz="6"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5802615A"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41,746</w:t>
            </w:r>
          </w:p>
        </w:tc>
        <w:tc>
          <w:tcPr>
            <w:tcW w:w="1506" w:type="dxa"/>
            <w:tcBorders>
              <w:top w:val="single" w:sz="6"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6E5DA0CB"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98.2%</w:t>
            </w:r>
          </w:p>
        </w:tc>
        <w:tc>
          <w:tcPr>
            <w:tcW w:w="1260" w:type="dxa"/>
            <w:tcBorders>
              <w:top w:val="single" w:sz="6"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18EE898E"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424,652</w:t>
            </w:r>
          </w:p>
        </w:tc>
        <w:tc>
          <w:tcPr>
            <w:tcW w:w="1530" w:type="dxa"/>
            <w:tcBorders>
              <w:top w:val="single" w:sz="6"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121FBF2A" w14:textId="77777777" w:rsidR="00E71D97" w:rsidRPr="00E71D97" w:rsidRDefault="00E71D97">
            <w:pPr>
              <w:pStyle w:val="tabletextmyriadtables"/>
              <w:ind w:right="180"/>
              <w:jc w:val="right"/>
              <w:rPr>
                <w:rFonts w:ascii="Verdana" w:hAnsi="Verdana"/>
                <w:color w:val="auto"/>
              </w:rPr>
            </w:pPr>
            <w:r w:rsidRPr="00E71D97">
              <w:rPr>
                <w:rFonts w:ascii="Verdana" w:hAnsi="Verdana"/>
                <w:color w:val="auto"/>
              </w:rPr>
              <w:t>91.4%</w:t>
            </w:r>
          </w:p>
        </w:tc>
      </w:tr>
      <w:tr w:rsidR="00E71D97" w:rsidRPr="00E71D97" w14:paraId="36198362" w14:textId="77777777" w:rsidTr="00E71D97">
        <w:tblPrEx>
          <w:tblCellMar>
            <w:top w:w="0" w:type="dxa"/>
            <w:left w:w="0" w:type="dxa"/>
            <w:bottom w:w="0" w:type="dxa"/>
            <w:right w:w="0" w:type="dxa"/>
          </w:tblCellMar>
        </w:tblPrEx>
        <w:trPr>
          <w:trHeight w:val="60"/>
        </w:trPr>
        <w:tc>
          <w:tcPr>
            <w:tcW w:w="3600" w:type="dxa"/>
            <w:tcBorders>
              <w:top w:val="single" w:sz="4"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723132BF" w14:textId="77777777" w:rsidR="00E71D97" w:rsidRPr="00E71D97" w:rsidRDefault="00E71D97">
            <w:pPr>
              <w:pStyle w:val="tabletextmyriadtables"/>
              <w:jc w:val="left"/>
              <w:rPr>
                <w:rFonts w:ascii="Verdana" w:hAnsi="Verdana"/>
                <w:color w:val="auto"/>
              </w:rPr>
            </w:pPr>
            <w:r w:rsidRPr="00E71D97">
              <w:rPr>
                <w:rFonts w:ascii="Verdana" w:hAnsi="Verdana" w:cs="MyriadPro-BoldCond"/>
                <w:b/>
                <w:bCs/>
                <w:color w:val="auto"/>
              </w:rPr>
              <w:t>Total Closures</w:t>
            </w:r>
          </w:p>
        </w:tc>
        <w:tc>
          <w:tcPr>
            <w:tcW w:w="1284" w:type="dxa"/>
            <w:tcBorders>
              <w:top w:val="single" w:sz="4"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6474B97A" w14:textId="77777777" w:rsidR="00E71D97" w:rsidRPr="00E71D97" w:rsidRDefault="00E71D97">
            <w:pPr>
              <w:pStyle w:val="tabletextmyriadtables"/>
              <w:ind w:right="180"/>
              <w:jc w:val="right"/>
              <w:rPr>
                <w:rFonts w:ascii="Verdana" w:hAnsi="Verdana"/>
                <w:color w:val="auto"/>
              </w:rPr>
            </w:pPr>
            <w:r w:rsidRPr="00E71D97">
              <w:rPr>
                <w:rFonts w:ascii="Verdana" w:hAnsi="Verdana" w:cs="MyriadPro-BoldCond"/>
                <w:b/>
                <w:bCs/>
                <w:color w:val="auto"/>
              </w:rPr>
              <w:t>42,505</w:t>
            </w:r>
          </w:p>
        </w:tc>
        <w:tc>
          <w:tcPr>
            <w:tcW w:w="1506" w:type="dxa"/>
            <w:tcBorders>
              <w:top w:val="single" w:sz="4"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6CFC7354" w14:textId="77777777" w:rsidR="00E71D97" w:rsidRPr="00E71D97" w:rsidRDefault="00E71D97">
            <w:pPr>
              <w:pStyle w:val="tabletextmyriadtables"/>
              <w:ind w:right="180"/>
              <w:jc w:val="right"/>
              <w:rPr>
                <w:rFonts w:ascii="Verdana" w:hAnsi="Verdana"/>
                <w:color w:val="auto"/>
              </w:rPr>
            </w:pPr>
            <w:r w:rsidRPr="00E71D97">
              <w:rPr>
                <w:rFonts w:ascii="Verdana" w:hAnsi="Verdana" w:cs="MyriadPro-BoldCond"/>
                <w:b/>
                <w:bCs/>
                <w:color w:val="auto"/>
              </w:rPr>
              <w:t>100%</w:t>
            </w:r>
          </w:p>
        </w:tc>
        <w:tc>
          <w:tcPr>
            <w:tcW w:w="1260" w:type="dxa"/>
            <w:tcBorders>
              <w:top w:val="single" w:sz="4"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2BE160F1" w14:textId="77777777" w:rsidR="00E71D97" w:rsidRPr="00E71D97" w:rsidRDefault="00E71D97">
            <w:pPr>
              <w:pStyle w:val="tabletextmyriadtables"/>
              <w:ind w:right="180"/>
              <w:jc w:val="right"/>
              <w:rPr>
                <w:rFonts w:ascii="Verdana" w:hAnsi="Verdana"/>
                <w:color w:val="auto"/>
              </w:rPr>
            </w:pPr>
            <w:r w:rsidRPr="00E71D97">
              <w:rPr>
                <w:rFonts w:ascii="Verdana" w:hAnsi="Verdana" w:cs="MyriadPro-BoldCond"/>
                <w:b/>
                <w:bCs/>
                <w:color w:val="auto"/>
              </w:rPr>
              <w:t>464,717</w:t>
            </w:r>
          </w:p>
        </w:tc>
        <w:tc>
          <w:tcPr>
            <w:tcW w:w="1530" w:type="dxa"/>
            <w:tcBorders>
              <w:top w:val="single" w:sz="4" w:space="0" w:color="000000"/>
              <w:left w:val="single" w:sz="6" w:space="0" w:color="000000"/>
              <w:bottom w:val="single" w:sz="4" w:space="0" w:color="000000"/>
              <w:right w:val="single" w:sz="6" w:space="0" w:color="000000"/>
            </w:tcBorders>
            <w:shd w:val="clear" w:color="auto" w:fill="auto"/>
            <w:tcMar>
              <w:top w:w="90" w:type="dxa"/>
              <w:left w:w="90" w:type="dxa"/>
              <w:bottom w:w="90" w:type="dxa"/>
              <w:right w:w="90" w:type="dxa"/>
            </w:tcMar>
          </w:tcPr>
          <w:p w14:paraId="0050C81C" w14:textId="77777777" w:rsidR="00E71D97" w:rsidRPr="00E71D97" w:rsidRDefault="00E71D97">
            <w:pPr>
              <w:pStyle w:val="tabletextmyriadtables"/>
              <w:ind w:right="180"/>
              <w:jc w:val="right"/>
              <w:rPr>
                <w:rFonts w:ascii="Verdana" w:hAnsi="Verdana"/>
                <w:color w:val="auto"/>
              </w:rPr>
            </w:pPr>
            <w:r w:rsidRPr="00E71D97">
              <w:rPr>
                <w:rFonts w:ascii="Verdana" w:hAnsi="Verdana" w:cs="MyriadPro-BoldCond"/>
                <w:b/>
                <w:bCs/>
                <w:color w:val="auto"/>
              </w:rPr>
              <w:t>100%</w:t>
            </w:r>
          </w:p>
        </w:tc>
      </w:tr>
    </w:tbl>
    <w:p w14:paraId="0BD21CB3" w14:textId="77777777" w:rsidR="00E71D97" w:rsidRPr="00E71D97" w:rsidRDefault="00E71D97" w:rsidP="00E71D97">
      <w:pPr>
        <w:rPr>
          <w:rFonts w:ascii="Verdana" w:hAnsi="Verdana"/>
        </w:rPr>
      </w:pPr>
    </w:p>
    <w:p w14:paraId="16A3B594" w14:textId="77777777" w:rsidR="00E71D97" w:rsidRPr="00E71D97" w:rsidRDefault="00E71D97" w:rsidP="00E71D97">
      <w:pPr>
        <w:rPr>
          <w:rFonts w:ascii="Verdana" w:hAnsi="Verdana"/>
        </w:rPr>
      </w:pPr>
      <w:r w:rsidRPr="00E71D97">
        <w:rPr>
          <w:rFonts w:ascii="Verdana" w:hAnsi="Verdana"/>
        </w:rPr>
        <w:t>*Subtotal may be less than the sum of the preceding categories because consumers can receive 1 or more of the services, i.e., the subtotal is a duplicated count.</w:t>
      </w:r>
    </w:p>
    <w:p w14:paraId="2179AB3C" w14:textId="77777777" w:rsidR="00E71D97" w:rsidRPr="00E71D97" w:rsidRDefault="00E71D97" w:rsidP="00E71D97">
      <w:pPr>
        <w:rPr>
          <w:rFonts w:ascii="Verdana" w:hAnsi="Verdana"/>
        </w:rPr>
      </w:pPr>
    </w:p>
    <w:p w14:paraId="53AAE6AD" w14:textId="77777777" w:rsidR="00E71D97" w:rsidRPr="00582A70" w:rsidRDefault="00E71D97" w:rsidP="00E71D97">
      <w:pPr>
        <w:rPr>
          <w:rFonts w:ascii="Verdana" w:hAnsi="Verdana"/>
          <w:b/>
        </w:rPr>
      </w:pPr>
      <w:r w:rsidRPr="00582A70">
        <w:rPr>
          <w:rFonts w:ascii="Verdana" w:hAnsi="Verdana"/>
          <w:b/>
        </w:rPr>
        <w:t>Figure 1.</w:t>
      </w:r>
    </w:p>
    <w:p w14:paraId="5E60586E" w14:textId="77777777" w:rsidR="00E71D97" w:rsidRPr="00582A70" w:rsidRDefault="00E71D97" w:rsidP="00E71D97">
      <w:pPr>
        <w:rPr>
          <w:rFonts w:ascii="Verdana" w:hAnsi="Verdana"/>
          <w:b/>
        </w:rPr>
      </w:pPr>
      <w:r w:rsidRPr="00582A70">
        <w:rPr>
          <w:rFonts w:ascii="Verdana" w:hAnsi="Verdana"/>
          <w:b/>
        </w:rPr>
        <w:t>VR Closures who Received Postsecondary Educations Services from VR by Intellectual Disability Status</w:t>
      </w:r>
    </w:p>
    <w:p w14:paraId="312D6F25" w14:textId="77777777" w:rsidR="00E71D97" w:rsidRPr="00E71D97" w:rsidRDefault="00E71D97" w:rsidP="00E71D97">
      <w:pPr>
        <w:rPr>
          <w:rFonts w:ascii="Verdana" w:hAnsi="Verdana"/>
        </w:rPr>
      </w:pPr>
    </w:p>
    <w:p w14:paraId="370DA998" w14:textId="77777777" w:rsidR="00E71D97" w:rsidRDefault="00E71D97" w:rsidP="00E71D97">
      <w:pPr>
        <w:rPr>
          <w:rFonts w:ascii="Verdana" w:hAnsi="Verdana"/>
        </w:rPr>
      </w:pPr>
      <w:r w:rsidRPr="00E71D97">
        <w:rPr>
          <w:rFonts w:ascii="Verdana" w:hAnsi="Verdana"/>
        </w:rPr>
        <w:t>The goal of providing these services is to build toward an employment outcome. Of the many reasons a VR customer might be closed out of a VR system, a “successful closure” is defined as acquiring an employment outcome after receiving services. These outcomes are measured as the “rehabilitation rate,” which means the percentage of individuals who obtained an employment outcome after receiving services through an Individualized Plan for Employment.</w:t>
      </w:r>
    </w:p>
    <w:p w14:paraId="22300D2E" w14:textId="77777777" w:rsidR="00E71D97" w:rsidRPr="00E71D97" w:rsidRDefault="00E71D97" w:rsidP="00E71D97">
      <w:pPr>
        <w:rPr>
          <w:rFonts w:ascii="Verdana" w:hAnsi="Verdana"/>
        </w:rPr>
      </w:pPr>
    </w:p>
    <w:p w14:paraId="287652D6" w14:textId="77777777" w:rsidR="00E71D97" w:rsidRPr="00E71D97" w:rsidRDefault="00E71D97" w:rsidP="00E71D97">
      <w:pPr>
        <w:rPr>
          <w:rFonts w:ascii="Verdana" w:hAnsi="Verdana"/>
        </w:rPr>
      </w:pPr>
      <w:r w:rsidRPr="00E71D97">
        <w:rPr>
          <w:rFonts w:ascii="Verdana" w:hAnsi="Verdana"/>
        </w:rPr>
        <w:t>Figure 2 shows the rehabilitation rate of individuals with and without ID who received any PSE services. While individuals with ID who received PSE services had a slightly higher rehabilitation rate than those who did not receive such services, individuals without ID had a lower rehabilitation rate when they received PSE services.</w:t>
      </w:r>
    </w:p>
    <w:p w14:paraId="5E54AD43" w14:textId="77777777" w:rsidR="00E71D97" w:rsidRDefault="00E71D97" w:rsidP="00E71D97">
      <w:pPr>
        <w:rPr>
          <w:rFonts w:ascii="Verdana" w:hAnsi="Verdana"/>
        </w:rPr>
      </w:pPr>
    </w:p>
    <w:p w14:paraId="7187D527" w14:textId="77777777" w:rsidR="00E71D97" w:rsidRPr="00582A70" w:rsidRDefault="00E71D97" w:rsidP="00E71D97">
      <w:pPr>
        <w:rPr>
          <w:rFonts w:ascii="Verdana" w:hAnsi="Verdana"/>
          <w:b/>
        </w:rPr>
      </w:pPr>
      <w:r w:rsidRPr="00582A70">
        <w:rPr>
          <w:rFonts w:ascii="Verdana" w:hAnsi="Verdana"/>
          <w:b/>
        </w:rPr>
        <w:t>Figure 2.</w:t>
      </w:r>
    </w:p>
    <w:p w14:paraId="03093601" w14:textId="77777777" w:rsidR="00E71D97" w:rsidRPr="00582A70" w:rsidRDefault="00E71D97" w:rsidP="00E71D97">
      <w:pPr>
        <w:rPr>
          <w:rFonts w:ascii="Verdana" w:hAnsi="Verdana"/>
          <w:b/>
        </w:rPr>
      </w:pPr>
      <w:r w:rsidRPr="00582A70">
        <w:rPr>
          <w:rFonts w:ascii="Verdana" w:hAnsi="Verdana"/>
          <w:b/>
        </w:rPr>
        <w:t>Rehabilitation Rate of VR Closures Who Received PSE Services by Intellectual Disability Status</w:t>
      </w:r>
    </w:p>
    <w:p w14:paraId="13696928" w14:textId="77777777" w:rsidR="00E71D97" w:rsidRPr="00E71D97" w:rsidRDefault="00E71D97" w:rsidP="00E71D97">
      <w:pPr>
        <w:rPr>
          <w:rFonts w:ascii="Verdana" w:hAnsi="Verdana"/>
        </w:rPr>
      </w:pPr>
    </w:p>
    <w:p w14:paraId="4DF3DE21" w14:textId="77777777" w:rsidR="00E71D97" w:rsidRPr="00E71D97" w:rsidRDefault="00E71D97" w:rsidP="00E71D97">
      <w:pPr>
        <w:rPr>
          <w:rFonts w:ascii="Verdana" w:hAnsi="Verdana"/>
        </w:rPr>
      </w:pPr>
      <w:r w:rsidRPr="00E71D97">
        <w:rPr>
          <w:rFonts w:ascii="Verdana" w:hAnsi="Verdana"/>
        </w:rPr>
        <w:t>Overall, the data support the notion that it is important to continue monitoring PSE services provided to VR consumers, particularly for individuals with ID, as there are potential benefits in terms of successful outcomes to receiving these services. Moreover, the data here uncover noticeable differences between how the same services are provided across different disability subpopulations. Continuing to observe these trends will allow VR to have more compelling approaches to which services to provide, as it illuminates a picture of whether these services are aiding these individuals.</w:t>
      </w:r>
    </w:p>
    <w:p w14:paraId="1F9D641E" w14:textId="77777777" w:rsidR="00E71D97" w:rsidRPr="00E71D97" w:rsidRDefault="00E71D97" w:rsidP="00E71D97">
      <w:pPr>
        <w:rPr>
          <w:rFonts w:ascii="Verdana" w:hAnsi="Verdana"/>
        </w:rPr>
      </w:pPr>
    </w:p>
    <w:p w14:paraId="74169B5A" w14:textId="77777777" w:rsidR="00E71D97" w:rsidRDefault="00E71D97">
      <w:pPr>
        <w:rPr>
          <w:rFonts w:ascii="Verdana" w:hAnsi="Verdana"/>
        </w:rPr>
      </w:pPr>
      <w:r>
        <w:rPr>
          <w:rFonts w:ascii="Verdana" w:hAnsi="Verdana"/>
        </w:rPr>
        <w:br w:type="page"/>
      </w:r>
    </w:p>
    <w:p w14:paraId="2252BE56" w14:textId="77777777" w:rsidR="00E71D97" w:rsidRPr="00582A70" w:rsidRDefault="00E71D97" w:rsidP="00E71D97">
      <w:pPr>
        <w:rPr>
          <w:rFonts w:ascii="Verdana" w:hAnsi="Verdana"/>
          <w:b/>
        </w:rPr>
      </w:pPr>
      <w:r w:rsidRPr="00582A70">
        <w:rPr>
          <w:rFonts w:ascii="Verdana" w:hAnsi="Verdana"/>
          <w:b/>
        </w:rPr>
        <w:t>Suggested Citation</w:t>
      </w:r>
    </w:p>
    <w:p w14:paraId="5B5CBFC8" w14:textId="77777777" w:rsidR="00E71D97" w:rsidRPr="00E71D97" w:rsidRDefault="00E71D97" w:rsidP="00E71D97">
      <w:pPr>
        <w:rPr>
          <w:rFonts w:ascii="Verdana" w:hAnsi="Verdana"/>
        </w:rPr>
      </w:pPr>
      <w:r w:rsidRPr="00E71D97">
        <w:rPr>
          <w:rFonts w:ascii="Verdana" w:hAnsi="Verdana"/>
        </w:rPr>
        <w:t xml:space="preserve">Shepard, John and Frank A. Smith. (2016). Comparing VR Outcomes for Individuals With and Without Intellectual Disabilities Who Receive </w:t>
      </w:r>
      <w:r w:rsidRPr="00E71D97">
        <w:rPr>
          <w:rFonts w:ascii="Verdana" w:hAnsi="Verdana"/>
        </w:rPr>
        <w:lastRenderedPageBreak/>
        <w:t xml:space="preserve">Postsecondary Education </w:t>
      </w:r>
      <w:proofErr w:type="gramStart"/>
      <w:r w:rsidRPr="00E71D97">
        <w:rPr>
          <w:rFonts w:ascii="Verdana" w:hAnsi="Verdana"/>
        </w:rPr>
        <w:t>Services .</w:t>
      </w:r>
      <w:proofErr w:type="gramEnd"/>
      <w:r w:rsidRPr="00E71D97">
        <w:rPr>
          <w:rFonts w:ascii="Verdana" w:hAnsi="Verdana"/>
        </w:rPr>
        <w:t xml:space="preserve"> </w:t>
      </w:r>
      <w:proofErr w:type="spellStart"/>
      <w:r w:rsidRPr="00E71D97">
        <w:rPr>
          <w:rFonts w:ascii="Verdana" w:hAnsi="Verdana"/>
        </w:rPr>
        <w:t>DataNote</w:t>
      </w:r>
      <w:proofErr w:type="spellEnd"/>
      <w:r w:rsidRPr="00E71D97">
        <w:rPr>
          <w:rFonts w:ascii="Verdana" w:hAnsi="Verdana"/>
        </w:rPr>
        <w:t xml:space="preserve"> Series, Data Note 53. Boston, MA: University of Massachusetts Boston, Institute for Community Inclusion.</w:t>
      </w:r>
    </w:p>
    <w:p w14:paraId="103653FF" w14:textId="77777777" w:rsidR="00E71D97" w:rsidRPr="00E71D97" w:rsidRDefault="00E71D97" w:rsidP="00E71D97">
      <w:pPr>
        <w:rPr>
          <w:rFonts w:ascii="Verdana" w:hAnsi="Verdana"/>
        </w:rPr>
      </w:pPr>
    </w:p>
    <w:p w14:paraId="0F41062D" w14:textId="77777777" w:rsidR="00F142A5" w:rsidRPr="00E71D97" w:rsidRDefault="00E71D97" w:rsidP="00E71D97">
      <w:pPr>
        <w:rPr>
          <w:rFonts w:ascii="Verdana" w:hAnsi="Verdana"/>
        </w:rPr>
      </w:pPr>
      <w:r w:rsidRPr="00E71D97">
        <w:rPr>
          <w:rFonts w:ascii="Verdana" w:hAnsi="Verdana"/>
        </w:rPr>
        <w:t>This is a publication of StateData.info, funded in part by the Administration on Developmental Disabilities, U.S. Department of Health and Human Services (#90DN0216).</w:t>
      </w:r>
    </w:p>
    <w:sectPr w:rsidR="00F142A5" w:rsidRPr="00E71D97" w:rsidSect="00F142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Gill Sans">
    <w:altName w:val="Gill Sans MT"/>
    <w:panose1 w:val="020B0502020104020203"/>
    <w:charset w:val="00"/>
    <w:family w:val="auto"/>
    <w:pitch w:val="variable"/>
    <w:sig w:usb0="80000267" w:usb1="00000000" w:usb2="00000000" w:usb3="00000000" w:csb0="000001F7" w:csb1="00000000"/>
  </w:font>
  <w:font w:name="Courier">
    <w:panose1 w:val="02000500000000000000"/>
    <w:charset w:val="00"/>
    <w:family w:val="auto"/>
    <w:pitch w:val="variable"/>
    <w:sig w:usb0="00000003" w:usb1="00000000" w:usb2="00000000" w:usb3="00000000" w:csb0="00000001" w:csb1="00000000"/>
  </w:font>
  <w:font w:name="MyriadPro-BoldCond">
    <w:altName w:val="Myriad Pro Cond"/>
    <w:panose1 w:val="00000000000000000000"/>
    <w:charset w:val="4D"/>
    <w:family w:val="auto"/>
    <w:notTrueType/>
    <w:pitch w:val="default"/>
    <w:sig w:usb0="00000003" w:usb1="00000000" w:usb2="00000000" w:usb3="00000000" w:csb0="00000001" w:csb1="00000000"/>
  </w:font>
  <w:font w:name="MyriadPro-Cond">
    <w:altName w:val="Myriad Pro Cond"/>
    <w:panose1 w:val="00000000000000000000"/>
    <w:charset w:val="4D"/>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D97"/>
    <w:rsid w:val="00582A70"/>
    <w:rsid w:val="00975AF1"/>
    <w:rsid w:val="00B152BA"/>
    <w:rsid w:val="00E71D97"/>
    <w:rsid w:val="00F14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801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
    <w:name w:val="H!"/>
    <w:basedOn w:val="Normal"/>
    <w:qFormat/>
    <w:rsid w:val="00975AF1"/>
    <w:pPr>
      <w:spacing w:before="240"/>
    </w:pPr>
    <w:rPr>
      <w:rFonts w:ascii="Helvetica" w:eastAsia="Times New Roman" w:hAnsi="Helvetica" w:cs="Times New Roman"/>
      <w:b/>
      <w:sz w:val="40"/>
      <w:szCs w:val="40"/>
    </w:rPr>
  </w:style>
  <w:style w:type="paragraph" w:customStyle="1" w:styleId="bodytext">
    <w:name w:val="body text"/>
    <w:basedOn w:val="Normal"/>
    <w:qFormat/>
    <w:rsid w:val="00975AF1"/>
    <w:pPr>
      <w:widowControl w:val="0"/>
      <w:autoSpaceDE w:val="0"/>
      <w:autoSpaceDN w:val="0"/>
      <w:adjustRightInd w:val="0"/>
      <w:spacing w:after="240" w:line="360" w:lineRule="auto"/>
    </w:pPr>
    <w:rPr>
      <w:rFonts w:ascii="Helvetica Light" w:eastAsia="Times New Roman" w:hAnsi="Helvetica Light" w:cs="Times New Roman"/>
      <w:color w:val="000000"/>
      <w:sz w:val="20"/>
      <w:szCs w:val="20"/>
      <w:lang w:bidi="en-US"/>
    </w:rPr>
  </w:style>
  <w:style w:type="paragraph" w:customStyle="1" w:styleId="H1dt">
    <w:name w:val="H1dt"/>
    <w:basedOn w:val="PlainText"/>
    <w:qFormat/>
    <w:rsid w:val="00B152BA"/>
    <w:pPr>
      <w:spacing w:before="240"/>
    </w:pPr>
    <w:rPr>
      <w:rFonts w:asciiTheme="minorHAnsi" w:hAnsiTheme="minorHAnsi" w:cs="Gill Sans"/>
      <w:b/>
      <w:sz w:val="24"/>
    </w:rPr>
  </w:style>
  <w:style w:type="paragraph" w:styleId="PlainText">
    <w:name w:val="Plain Text"/>
    <w:basedOn w:val="Normal"/>
    <w:link w:val="PlainTextChar"/>
    <w:uiPriority w:val="99"/>
    <w:semiHidden/>
    <w:unhideWhenUsed/>
    <w:rsid w:val="00B152BA"/>
    <w:rPr>
      <w:rFonts w:ascii="Courier" w:hAnsi="Courier"/>
      <w:sz w:val="21"/>
      <w:szCs w:val="21"/>
    </w:rPr>
  </w:style>
  <w:style w:type="character" w:customStyle="1" w:styleId="PlainTextChar">
    <w:name w:val="Plain Text Char"/>
    <w:basedOn w:val="DefaultParagraphFont"/>
    <w:link w:val="PlainText"/>
    <w:uiPriority w:val="99"/>
    <w:semiHidden/>
    <w:rsid w:val="00B152BA"/>
    <w:rPr>
      <w:rFonts w:ascii="Courier" w:hAnsi="Courier"/>
      <w:sz w:val="21"/>
      <w:szCs w:val="21"/>
    </w:rPr>
  </w:style>
  <w:style w:type="paragraph" w:customStyle="1" w:styleId="NoParagraphStyle">
    <w:name w:val="[No Paragraph Style]"/>
    <w:rsid w:val="00E71D97"/>
    <w:pPr>
      <w:widowControl w:val="0"/>
      <w:autoSpaceDE w:val="0"/>
      <w:autoSpaceDN w:val="0"/>
      <w:adjustRightInd w:val="0"/>
      <w:spacing w:line="288" w:lineRule="auto"/>
      <w:textAlignment w:val="center"/>
    </w:pPr>
    <w:rPr>
      <w:rFonts w:ascii="MyriadPro-BoldCond" w:hAnsi="MyriadPro-BoldCond" w:cs="Times New Roman"/>
      <w:color w:val="000000"/>
    </w:rPr>
  </w:style>
  <w:style w:type="paragraph" w:customStyle="1" w:styleId="tableheaderwhitemyriadtables">
    <w:name w:val="table header white myriad (tables)"/>
    <w:basedOn w:val="NoParagraphStyle"/>
    <w:uiPriority w:val="99"/>
    <w:rsid w:val="00E71D97"/>
    <w:pPr>
      <w:suppressAutoHyphens/>
    </w:pPr>
    <w:rPr>
      <w:rFonts w:cs="MyriadPro-BoldCond"/>
      <w:b/>
      <w:bCs/>
      <w:color w:val="FFFFFF"/>
    </w:rPr>
  </w:style>
  <w:style w:type="paragraph" w:customStyle="1" w:styleId="tabletextmyriadtables">
    <w:name w:val="table text myriad (tables)"/>
    <w:basedOn w:val="Normal"/>
    <w:uiPriority w:val="99"/>
    <w:rsid w:val="00E71D97"/>
    <w:pPr>
      <w:widowControl w:val="0"/>
      <w:suppressAutoHyphens/>
      <w:autoSpaceDE w:val="0"/>
      <w:autoSpaceDN w:val="0"/>
      <w:adjustRightInd w:val="0"/>
      <w:spacing w:line="288" w:lineRule="auto"/>
      <w:jc w:val="center"/>
      <w:textAlignment w:val="center"/>
    </w:pPr>
    <w:rPr>
      <w:rFonts w:ascii="MyriadPro-Cond" w:hAnsi="MyriadPro-Cond" w:cs="MyriadPro-Cond"/>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
    <w:name w:val="H!"/>
    <w:basedOn w:val="Normal"/>
    <w:qFormat/>
    <w:rsid w:val="00975AF1"/>
    <w:pPr>
      <w:spacing w:before="240"/>
    </w:pPr>
    <w:rPr>
      <w:rFonts w:ascii="Helvetica" w:eastAsia="Times New Roman" w:hAnsi="Helvetica" w:cs="Times New Roman"/>
      <w:b/>
      <w:sz w:val="40"/>
      <w:szCs w:val="40"/>
    </w:rPr>
  </w:style>
  <w:style w:type="paragraph" w:customStyle="1" w:styleId="bodytext">
    <w:name w:val="body text"/>
    <w:basedOn w:val="Normal"/>
    <w:qFormat/>
    <w:rsid w:val="00975AF1"/>
    <w:pPr>
      <w:widowControl w:val="0"/>
      <w:autoSpaceDE w:val="0"/>
      <w:autoSpaceDN w:val="0"/>
      <w:adjustRightInd w:val="0"/>
      <w:spacing w:after="240" w:line="360" w:lineRule="auto"/>
    </w:pPr>
    <w:rPr>
      <w:rFonts w:ascii="Helvetica Light" w:eastAsia="Times New Roman" w:hAnsi="Helvetica Light" w:cs="Times New Roman"/>
      <w:color w:val="000000"/>
      <w:sz w:val="20"/>
      <w:szCs w:val="20"/>
      <w:lang w:bidi="en-US"/>
    </w:rPr>
  </w:style>
  <w:style w:type="paragraph" w:customStyle="1" w:styleId="H1dt">
    <w:name w:val="H1dt"/>
    <w:basedOn w:val="PlainText"/>
    <w:qFormat/>
    <w:rsid w:val="00B152BA"/>
    <w:pPr>
      <w:spacing w:before="240"/>
    </w:pPr>
    <w:rPr>
      <w:rFonts w:asciiTheme="minorHAnsi" w:hAnsiTheme="minorHAnsi" w:cs="Gill Sans"/>
      <w:b/>
      <w:sz w:val="24"/>
    </w:rPr>
  </w:style>
  <w:style w:type="paragraph" w:styleId="PlainText">
    <w:name w:val="Plain Text"/>
    <w:basedOn w:val="Normal"/>
    <w:link w:val="PlainTextChar"/>
    <w:uiPriority w:val="99"/>
    <w:semiHidden/>
    <w:unhideWhenUsed/>
    <w:rsid w:val="00B152BA"/>
    <w:rPr>
      <w:rFonts w:ascii="Courier" w:hAnsi="Courier"/>
      <w:sz w:val="21"/>
      <w:szCs w:val="21"/>
    </w:rPr>
  </w:style>
  <w:style w:type="character" w:customStyle="1" w:styleId="PlainTextChar">
    <w:name w:val="Plain Text Char"/>
    <w:basedOn w:val="DefaultParagraphFont"/>
    <w:link w:val="PlainText"/>
    <w:uiPriority w:val="99"/>
    <w:semiHidden/>
    <w:rsid w:val="00B152BA"/>
    <w:rPr>
      <w:rFonts w:ascii="Courier" w:hAnsi="Courier"/>
      <w:sz w:val="21"/>
      <w:szCs w:val="21"/>
    </w:rPr>
  </w:style>
  <w:style w:type="paragraph" w:customStyle="1" w:styleId="NoParagraphStyle">
    <w:name w:val="[No Paragraph Style]"/>
    <w:rsid w:val="00E71D97"/>
    <w:pPr>
      <w:widowControl w:val="0"/>
      <w:autoSpaceDE w:val="0"/>
      <w:autoSpaceDN w:val="0"/>
      <w:adjustRightInd w:val="0"/>
      <w:spacing w:line="288" w:lineRule="auto"/>
      <w:textAlignment w:val="center"/>
    </w:pPr>
    <w:rPr>
      <w:rFonts w:ascii="MyriadPro-BoldCond" w:hAnsi="MyriadPro-BoldCond" w:cs="Times New Roman"/>
      <w:color w:val="000000"/>
    </w:rPr>
  </w:style>
  <w:style w:type="paragraph" w:customStyle="1" w:styleId="tableheaderwhitemyriadtables">
    <w:name w:val="table header white myriad (tables)"/>
    <w:basedOn w:val="NoParagraphStyle"/>
    <w:uiPriority w:val="99"/>
    <w:rsid w:val="00E71D97"/>
    <w:pPr>
      <w:suppressAutoHyphens/>
    </w:pPr>
    <w:rPr>
      <w:rFonts w:cs="MyriadPro-BoldCond"/>
      <w:b/>
      <w:bCs/>
      <w:color w:val="FFFFFF"/>
    </w:rPr>
  </w:style>
  <w:style w:type="paragraph" w:customStyle="1" w:styleId="tabletextmyriadtables">
    <w:name w:val="table text myriad (tables)"/>
    <w:basedOn w:val="Normal"/>
    <w:uiPriority w:val="99"/>
    <w:rsid w:val="00E71D97"/>
    <w:pPr>
      <w:widowControl w:val="0"/>
      <w:suppressAutoHyphens/>
      <w:autoSpaceDE w:val="0"/>
      <w:autoSpaceDN w:val="0"/>
      <w:adjustRightInd w:val="0"/>
      <w:spacing w:line="288" w:lineRule="auto"/>
      <w:jc w:val="center"/>
      <w:textAlignment w:val="center"/>
    </w:pPr>
    <w:rPr>
      <w:rFonts w:ascii="MyriadPro-Cond" w:hAnsi="MyriadPro-Cond" w:cs="MyriadPro-Cond"/>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747</Words>
  <Characters>4088</Characters>
  <Application>Microsoft Macintosh Word</Application>
  <DocSecurity>0</DocSecurity>
  <Lines>136</Lines>
  <Paragraphs>68</Paragraphs>
  <ScaleCrop>false</ScaleCrop>
  <HeadingPairs>
    <vt:vector size="2" baseType="variant">
      <vt:variant>
        <vt:lpstr>Title</vt:lpstr>
      </vt:variant>
      <vt:variant>
        <vt:i4>1</vt:i4>
      </vt:variant>
    </vt:vector>
  </HeadingPairs>
  <TitlesOfParts>
    <vt:vector size="1" baseType="lpstr">
      <vt:lpstr/>
    </vt:vector>
  </TitlesOfParts>
  <Manager/>
  <Company>ICI/UMass Boston</Company>
  <LinksUpToDate>false</LinksUpToDate>
  <CharactersWithSpaces>4767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djt</dc:creator>
  <cp:keywords/>
  <dc:description/>
  <cp:lastModifiedBy>djt</cp:lastModifiedBy>
  <cp:revision>2</cp:revision>
  <dcterms:created xsi:type="dcterms:W3CDTF">2016-08-31T14:09:00Z</dcterms:created>
  <dcterms:modified xsi:type="dcterms:W3CDTF">2016-08-31T14:12:00Z</dcterms:modified>
  <cp:category/>
</cp:coreProperties>
</file>