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241D1F" w14:textId="0C1C3DF2" w:rsidR="00E5184E" w:rsidRPr="00E5184E" w:rsidRDefault="00E5184E" w:rsidP="001E3B9D">
      <w:pPr>
        <w:rPr>
          <w:b/>
        </w:rPr>
      </w:pPr>
      <w:r w:rsidRPr="00E5184E">
        <w:rPr>
          <w:b/>
        </w:rPr>
        <w:t>Intro</w:t>
      </w:r>
      <w:r w:rsidR="00F9706E" w:rsidRPr="00F9706E">
        <w:t xml:space="preserve"> </w:t>
      </w:r>
    </w:p>
    <w:p w14:paraId="6C2C75C6" w14:textId="3E8E5878" w:rsidR="006B72FC" w:rsidRDefault="003C6815" w:rsidP="001E3B9D">
      <w:r>
        <w:br/>
      </w:r>
      <w:r w:rsidR="001E3B9D">
        <w:t>The Su</w:t>
      </w:r>
      <w:r w:rsidR="008E11FE">
        <w:t>bstantial</w:t>
      </w:r>
      <w:r w:rsidR="001E3B9D">
        <w:t xml:space="preserve"> Ga</w:t>
      </w:r>
      <w:r w:rsidR="008235FE">
        <w:t xml:space="preserve">inful Activity (SGA) Project </w:t>
      </w:r>
      <w:r w:rsidR="00EA1948">
        <w:t>(or</w:t>
      </w:r>
      <w:r w:rsidR="008235FE">
        <w:t xml:space="preserve"> </w:t>
      </w:r>
      <w:r w:rsidR="001E3B9D">
        <w:t>SGA Project for short</w:t>
      </w:r>
      <w:r w:rsidR="008235FE">
        <w:t>)</w:t>
      </w:r>
      <w:r w:rsidR="001E3B9D">
        <w:t xml:space="preserve"> is a demonstration </w:t>
      </w:r>
      <w:r w:rsidR="00D16940">
        <w:t xml:space="preserve">model </w:t>
      </w:r>
      <w:r w:rsidR="009D2265">
        <w:t>created in partnership wit</w:t>
      </w:r>
      <w:r w:rsidR="00F85A61">
        <w:t>h</w:t>
      </w:r>
      <w:r w:rsidR="00F9706E">
        <w:t xml:space="preserve"> the Institute for </w:t>
      </w:r>
      <w:r w:rsidR="00F85A61">
        <w:t>C</w:t>
      </w:r>
      <w:r w:rsidR="00F9706E">
        <w:t xml:space="preserve">ommunity </w:t>
      </w:r>
      <w:r w:rsidR="00F85A61">
        <w:t>I</w:t>
      </w:r>
      <w:r w:rsidR="00F9706E">
        <w:t>nclusion</w:t>
      </w:r>
      <w:r w:rsidR="00F85A61">
        <w:t xml:space="preserve"> and Mathematica</w:t>
      </w:r>
      <w:r w:rsidR="00F9706E">
        <w:t xml:space="preserve"> Policy Research</w:t>
      </w:r>
      <w:r w:rsidR="00F85A61">
        <w:t xml:space="preserve">. </w:t>
      </w:r>
    </w:p>
    <w:p w14:paraId="58F09F4A" w14:textId="77777777" w:rsidR="006B72FC" w:rsidRDefault="006B72FC" w:rsidP="001E3B9D"/>
    <w:p w14:paraId="6FCD8B6E" w14:textId="6B541868" w:rsidR="006B72FC" w:rsidRPr="003C6815" w:rsidRDefault="006B72FC" w:rsidP="006B72FC">
      <w:pPr>
        <w:rPr>
          <w:b/>
        </w:rPr>
      </w:pPr>
      <w:r w:rsidRPr="00E5184E">
        <w:rPr>
          <w:b/>
        </w:rPr>
        <w:t xml:space="preserve">What is </w:t>
      </w:r>
      <w:r>
        <w:rPr>
          <w:b/>
        </w:rPr>
        <w:t>the SGA Project</w:t>
      </w:r>
      <w:r w:rsidRPr="00E5184E">
        <w:rPr>
          <w:b/>
        </w:rPr>
        <w:t xml:space="preserve">? </w:t>
      </w:r>
    </w:p>
    <w:p w14:paraId="611E7889" w14:textId="5FFE8B92" w:rsidR="008406ED" w:rsidRDefault="00F85A61" w:rsidP="001E3B9D">
      <w:r>
        <w:t>The SGA P</w:t>
      </w:r>
      <w:r w:rsidR="009D2265">
        <w:t xml:space="preserve">roject aimed to assist </w:t>
      </w:r>
      <w:r w:rsidR="008E11FE">
        <w:t xml:space="preserve">state </w:t>
      </w:r>
      <w:r w:rsidR="00917735">
        <w:t>Vocational Rehabilitation</w:t>
      </w:r>
      <w:r w:rsidR="008E11FE">
        <w:t xml:space="preserve"> (VR)</w:t>
      </w:r>
      <w:r w:rsidR="001E3B9D">
        <w:t xml:space="preserve"> agencies to increase the number of </w:t>
      </w:r>
      <w:r w:rsidR="004F506F">
        <w:t>Social Security Disability Insurance (better known as SSDI) beneficiaries</w:t>
      </w:r>
      <w:r w:rsidR="008E11FE">
        <w:t xml:space="preserve"> they served who earned above SGA level of monthly income at the time their VR cases closed.</w:t>
      </w:r>
      <w:r w:rsidR="001E3B9D">
        <w:t xml:space="preserve"> </w:t>
      </w:r>
    </w:p>
    <w:p w14:paraId="58567E13" w14:textId="77777777" w:rsidR="008406ED" w:rsidRDefault="008406ED" w:rsidP="001E3B9D"/>
    <w:p w14:paraId="661D3E5A" w14:textId="7DDBBB52" w:rsidR="00A163BC" w:rsidRDefault="008406ED" w:rsidP="001E3B9D">
      <w:r>
        <w:t>The participating State Vocational Rehabilitation Agencies in the demonstration project were Kentucky and Minnesota</w:t>
      </w:r>
    </w:p>
    <w:p w14:paraId="7A4007A9" w14:textId="77777777" w:rsidR="008406ED" w:rsidRDefault="008406ED" w:rsidP="001E3B9D"/>
    <w:p w14:paraId="0572DE3A" w14:textId="22C4060D" w:rsidR="008406ED" w:rsidRDefault="008406ED" w:rsidP="001E3B9D">
      <w:r>
        <w:t>The goal of the SGA Project is to improve SSDI beneficiaries' quality of life and maximize their economic independence.</w:t>
      </w:r>
    </w:p>
    <w:p w14:paraId="092F7D04" w14:textId="77777777" w:rsidR="008406ED" w:rsidRDefault="008406ED" w:rsidP="001E3B9D"/>
    <w:p w14:paraId="44A0FD2C" w14:textId="0799CC7A" w:rsidR="006B72FC" w:rsidRPr="003C6815" w:rsidRDefault="006B72FC" w:rsidP="006B72FC">
      <w:pPr>
        <w:rPr>
          <w:b/>
        </w:rPr>
      </w:pPr>
      <w:r>
        <w:rPr>
          <w:b/>
        </w:rPr>
        <w:t>What does</w:t>
      </w:r>
      <w:r w:rsidRPr="00E5184E">
        <w:rPr>
          <w:b/>
        </w:rPr>
        <w:t xml:space="preserve"> </w:t>
      </w:r>
      <w:r>
        <w:rPr>
          <w:b/>
        </w:rPr>
        <w:t>SGA mean</w:t>
      </w:r>
      <w:r w:rsidRPr="00E5184E">
        <w:rPr>
          <w:b/>
        </w:rPr>
        <w:t xml:space="preserve">? </w:t>
      </w:r>
    </w:p>
    <w:p w14:paraId="370E8724" w14:textId="77777777" w:rsidR="00F361D3" w:rsidRDefault="001E3B9D" w:rsidP="001E3B9D">
      <w:r>
        <w:t xml:space="preserve">SGA refers to </w:t>
      </w:r>
      <w:r w:rsidR="00110873">
        <w:t xml:space="preserve">a level of earnings capacity that is somewhat comparable to that of a nondisabled person.  If an individual who receives SSDI benefits works at the SGA level after a 9-month trial work period and 3-month grace period, his/her SSDI benefits stop.  SGA is measured by a level of pre-tax earnings ($1,170 per month or higher for non-blind beneficiaries in 2017) after certain deductions from earnings have been applied.  </w:t>
      </w:r>
    </w:p>
    <w:p w14:paraId="548A5D5C" w14:textId="77777777" w:rsidR="00F361D3" w:rsidRDefault="00F361D3" w:rsidP="001E3B9D"/>
    <w:p w14:paraId="4AEFFF41" w14:textId="77777777" w:rsidR="000D0ED1" w:rsidRDefault="00110873" w:rsidP="001E3B9D">
      <w:r>
        <w:t xml:space="preserve">Deductions include “impairment related work expenses (IRWE’s)” (disability-related expenses the beneficiary pays for </w:t>
      </w:r>
      <w:proofErr w:type="gramStart"/>
      <w:r>
        <w:t>in order to</w:t>
      </w:r>
      <w:proofErr w:type="gramEnd"/>
      <w:r>
        <w:t xml:space="preserve"> work) and “subsidies and special conditions” (the beneficiary is paid the customary wage for the job, but works at a reduced rate of productivity or receives extra help to perform the job).  </w:t>
      </w:r>
    </w:p>
    <w:p w14:paraId="15D38A45" w14:textId="77777777" w:rsidR="000D0ED1" w:rsidRDefault="000D0ED1" w:rsidP="001E3B9D"/>
    <w:p w14:paraId="2A79F5B4" w14:textId="74204A69" w:rsidR="001E3B9D" w:rsidRDefault="00110873" w:rsidP="001E3B9D">
      <w:r>
        <w:t>If earnings AFTER these deductions are at least $1,170 per month, then the beneficiary will usually be determined to be performing SGA.</w:t>
      </w:r>
    </w:p>
    <w:p w14:paraId="14392DC4" w14:textId="77777777" w:rsidR="00FD572B" w:rsidRDefault="00FD572B" w:rsidP="001E3B9D"/>
    <w:p w14:paraId="6626D69E" w14:textId="77777777" w:rsidR="00FD572B" w:rsidRPr="004A086A" w:rsidRDefault="00FD572B" w:rsidP="00FD572B">
      <w:pPr>
        <w:rPr>
          <w:b/>
        </w:rPr>
      </w:pPr>
      <w:r w:rsidRPr="004A086A">
        <w:rPr>
          <w:b/>
        </w:rPr>
        <w:t xml:space="preserve">Why only SSDI-only Clients? </w:t>
      </w:r>
    </w:p>
    <w:p w14:paraId="709D85E7" w14:textId="1445A62A" w:rsidR="00FD572B" w:rsidRDefault="00FD572B" w:rsidP="001E3B9D">
      <w:r>
        <w:t>From 1980 to 2017, the number of Americans on SSDI nearly tripled, from 2.6 million to nearly 9 million.   Typically, individuals receiving SSDI-only had a significant work history with skills and experiences that would be valuable to the marketplace. Although impairments and disabling health conditions might affect their current capabilities and productivity, these individuals possess human capital that can be leveraged to support significant levels of employment if emp</w:t>
      </w:r>
      <w:r>
        <w:t>loyment barriers are addressed.</w:t>
      </w:r>
    </w:p>
    <w:p w14:paraId="23D3BE21" w14:textId="77777777" w:rsidR="001E3B9D" w:rsidRDefault="001E3B9D" w:rsidP="001E3B9D"/>
    <w:p w14:paraId="46B6B874" w14:textId="1F7D5F5C" w:rsidR="001E3B9D" w:rsidRDefault="001E3B9D" w:rsidP="001E3B9D"/>
    <w:p w14:paraId="1A2D07B2" w14:textId="77777777" w:rsidR="00C1795E" w:rsidRDefault="00C1795E" w:rsidP="001E3B9D">
      <w:pPr>
        <w:rPr>
          <w:b/>
        </w:rPr>
      </w:pPr>
    </w:p>
    <w:p w14:paraId="4C8D0750" w14:textId="77777777" w:rsidR="00C1795E" w:rsidRDefault="00C1795E" w:rsidP="001E3B9D">
      <w:pPr>
        <w:rPr>
          <w:b/>
        </w:rPr>
      </w:pPr>
    </w:p>
    <w:p w14:paraId="595E651F" w14:textId="77777777" w:rsidR="00C1795E" w:rsidRDefault="00C1795E" w:rsidP="001E3B9D">
      <w:pPr>
        <w:rPr>
          <w:b/>
        </w:rPr>
      </w:pPr>
    </w:p>
    <w:p w14:paraId="6ACF0CEF" w14:textId="2B59EE8D" w:rsidR="001E3B9D" w:rsidRPr="005F78AE" w:rsidRDefault="008406ED" w:rsidP="001E3B9D">
      <w:pPr>
        <w:rPr>
          <w:b/>
        </w:rPr>
      </w:pPr>
      <w:r>
        <w:rPr>
          <w:b/>
        </w:rPr>
        <w:lastRenderedPageBreak/>
        <w:t>E</w:t>
      </w:r>
      <w:r w:rsidR="001E3B9D" w:rsidRPr="005F78AE">
        <w:rPr>
          <w:b/>
        </w:rPr>
        <w:t>arning above SG</w:t>
      </w:r>
      <w:r>
        <w:rPr>
          <w:b/>
        </w:rPr>
        <w:t>A level…</w:t>
      </w:r>
    </w:p>
    <w:p w14:paraId="24302204" w14:textId="77777777" w:rsidR="001E3B9D" w:rsidRDefault="001E3B9D" w:rsidP="001E3B9D"/>
    <w:p w14:paraId="6595AA39" w14:textId="2EED719C" w:rsidR="001E3B9D" w:rsidRDefault="001E3B9D" w:rsidP="001E3B9D">
      <w:r>
        <w:t>1). Increased Financial Independence - Clients who earn over SGA levels have</w:t>
      </w:r>
      <w:r w:rsidR="00110873">
        <w:t>,</w:t>
      </w:r>
      <w:r>
        <w:t xml:space="preserve"> on average</w:t>
      </w:r>
      <w:r w:rsidR="00110873">
        <w:t>,</w:t>
      </w:r>
      <w:r>
        <w:t xml:space="preserve"> higher incomes and can achieve more financial independence. </w:t>
      </w:r>
    </w:p>
    <w:p w14:paraId="3F300A99" w14:textId="77777777" w:rsidR="00C26F39" w:rsidRDefault="00C26F39" w:rsidP="001E3B9D"/>
    <w:p w14:paraId="311378B5" w14:textId="380B1EB6" w:rsidR="00C26F39" w:rsidRDefault="008D50C5" w:rsidP="001E3B9D">
      <w:r>
        <w:t>2</w:t>
      </w:r>
      <w:r w:rsidR="00C26F39">
        <w:t xml:space="preserve">). Increased Social Networks – Clients </w:t>
      </w:r>
      <w:r>
        <w:t>indicate that full time employment offers opportunities t</w:t>
      </w:r>
      <w:r w:rsidR="0068247F">
        <w:t xml:space="preserve">o increase their social networks. </w:t>
      </w:r>
    </w:p>
    <w:p w14:paraId="39B04471" w14:textId="77777777" w:rsidR="001E3B9D" w:rsidRDefault="001E3B9D" w:rsidP="001E3B9D"/>
    <w:p w14:paraId="3A3E86EE" w14:textId="28D5ABD0" w:rsidR="001E3B9D" w:rsidRDefault="008D50C5" w:rsidP="001E3B9D">
      <w:r>
        <w:t>3</w:t>
      </w:r>
      <w:r w:rsidR="001E3B9D">
        <w:t xml:space="preserve">). </w:t>
      </w:r>
      <w:bookmarkStart w:id="0" w:name="_GoBack"/>
      <w:r w:rsidR="001E3B9D">
        <w:t xml:space="preserve">Increased Federal Funding </w:t>
      </w:r>
      <w:bookmarkEnd w:id="0"/>
      <w:r w:rsidR="001E3B9D">
        <w:t xml:space="preserve">- VR agencies are eligible for SSA payments </w:t>
      </w:r>
      <w:r w:rsidR="00110873">
        <w:t xml:space="preserve">known as “cost reimbursement” </w:t>
      </w:r>
      <w:r w:rsidR="001E3B9D">
        <w:t>only after their SSDI beneficiary clients have become employed and achieved nine months of earnings above the SGA level</w:t>
      </w:r>
      <w:r w:rsidR="00110873">
        <w:t>.</w:t>
      </w:r>
    </w:p>
    <w:p w14:paraId="173C1290" w14:textId="1DA60D9A" w:rsidR="004A086A" w:rsidRDefault="004A086A" w:rsidP="001E3B9D"/>
    <w:p w14:paraId="3848BC49" w14:textId="77777777" w:rsidR="001E3B9D" w:rsidRDefault="001E3B9D" w:rsidP="001E3B9D"/>
    <w:p w14:paraId="7F496385" w14:textId="77777777" w:rsidR="008406ED" w:rsidRDefault="008406ED" w:rsidP="001E3B9D">
      <w:pPr>
        <w:rPr>
          <w:b/>
        </w:rPr>
      </w:pPr>
    </w:p>
    <w:p w14:paraId="596C098B" w14:textId="3D7BDCAD" w:rsidR="001E3B9D" w:rsidRPr="004A086A" w:rsidRDefault="008406ED" w:rsidP="001E3B9D">
      <w:pPr>
        <w:rPr>
          <w:b/>
        </w:rPr>
      </w:pPr>
      <w:r>
        <w:rPr>
          <w:b/>
        </w:rPr>
        <w:t>What makes SGA Project Different</w:t>
      </w:r>
      <w:r w:rsidR="001E3B9D" w:rsidRPr="004A086A">
        <w:rPr>
          <w:b/>
        </w:rPr>
        <w:t xml:space="preserve">? </w:t>
      </w:r>
    </w:p>
    <w:p w14:paraId="20B70F36" w14:textId="77777777" w:rsidR="001E3B9D" w:rsidRDefault="001E3B9D" w:rsidP="001E3B9D">
      <w:r>
        <w:t>The innovations provided by the SGA Project are:</w:t>
      </w:r>
    </w:p>
    <w:p w14:paraId="0F03C395" w14:textId="77777777" w:rsidR="008D50C5" w:rsidRDefault="008D50C5" w:rsidP="001E3B9D"/>
    <w:p w14:paraId="546E3CED" w14:textId="662C47CF" w:rsidR="0068247F" w:rsidRDefault="0068247F" w:rsidP="0068247F">
      <w:r>
        <w:t xml:space="preserve">Increased pace from application to IPE from 150 days with traditional pace to 30 days with the SGA intervention. </w:t>
      </w:r>
    </w:p>
    <w:p w14:paraId="5A6E4C15" w14:textId="77777777" w:rsidR="0068247F" w:rsidRDefault="0068247F" w:rsidP="001E3B9D"/>
    <w:p w14:paraId="1E10961C" w14:textId="777746CE" w:rsidR="0068247F" w:rsidRDefault="0068247F" w:rsidP="0068247F">
      <w:r>
        <w:t>Coordinated team approach uses the combined expertise of VR Counselor</w:t>
      </w:r>
      <w:r w:rsidR="00110873">
        <w:t>, Work Incentives/Financial</w:t>
      </w:r>
      <w:r>
        <w:t xml:space="preserve"> </w:t>
      </w:r>
      <w:r w:rsidR="00FD572B">
        <w:t>Counselor, and</w:t>
      </w:r>
      <w:r>
        <w:t xml:space="preserve"> Job Placement Specialist versus single VR Counselor to coordinate services. </w:t>
      </w:r>
    </w:p>
    <w:p w14:paraId="767A8E5A" w14:textId="77777777" w:rsidR="0068247F" w:rsidRDefault="0068247F" w:rsidP="001E3B9D"/>
    <w:p w14:paraId="56B40D47" w14:textId="77777777" w:rsidR="0068247F" w:rsidRDefault="0068247F" w:rsidP="001E3B9D"/>
    <w:p w14:paraId="109BF8BA" w14:textId="788168E8" w:rsidR="001E3B9D" w:rsidRDefault="002C45A4" w:rsidP="001E3B9D">
      <w:r>
        <w:t>Prompt and intensive Work Incentives Counseling and Financial Empowerment services,</w:t>
      </w:r>
      <w:r w:rsidR="0068247F">
        <w:t xml:space="preserve"> on average</w:t>
      </w:r>
      <w:r>
        <w:t>,</w:t>
      </w:r>
      <w:r w:rsidR="0068247F">
        <w:t xml:space="preserve"> reduced client’s anxiety about losing SSDI benefits. Clients felt more empowered in their financial decision-making </w:t>
      </w:r>
      <w:r w:rsidR="001E3B9D">
        <w:t xml:space="preserve">versus </w:t>
      </w:r>
      <w:r>
        <w:t>access to less-intensive Work Incentives Counseling that beneficiaries may or may not pursue</w:t>
      </w:r>
    </w:p>
    <w:p w14:paraId="707B9CD1" w14:textId="77777777" w:rsidR="001E3B9D" w:rsidRDefault="001E3B9D" w:rsidP="001E3B9D"/>
    <w:p w14:paraId="6BECBA9B" w14:textId="77777777" w:rsidR="00AF3517" w:rsidRDefault="00AF3517" w:rsidP="001E3B9D"/>
    <w:p w14:paraId="73BFBBF3" w14:textId="099A14FF" w:rsidR="00AF3517" w:rsidRDefault="00AF3517" w:rsidP="001E3B9D">
      <w:r>
        <w:t>Job Placement Services</w:t>
      </w:r>
      <w:r w:rsidR="00C0571C">
        <w:t xml:space="preserve"> introduced a</w:t>
      </w:r>
      <w:r w:rsidR="0098137B">
        <w:t>t the beginning of the process</w:t>
      </w:r>
      <w:r w:rsidR="002C45A4">
        <w:t>,</w:t>
      </w:r>
      <w:r w:rsidR="0098137B">
        <w:t xml:space="preserve"> on average</w:t>
      </w:r>
      <w:r w:rsidR="002C45A4">
        <w:t>,</w:t>
      </w:r>
      <w:r w:rsidR="0098137B">
        <w:t xml:space="preserve"> yielded more successful closure rates </w:t>
      </w:r>
      <w:r w:rsidR="004426C8">
        <w:t>than with traditional s</w:t>
      </w:r>
      <w:r w:rsidR="00C0571C">
        <w:t xml:space="preserve">ervices. </w:t>
      </w:r>
    </w:p>
    <w:p w14:paraId="2A255B1A" w14:textId="77777777" w:rsidR="008D50C5" w:rsidRDefault="008D50C5" w:rsidP="001E3B9D"/>
    <w:p w14:paraId="7624C61D" w14:textId="77777777" w:rsidR="008D50C5" w:rsidRDefault="008D50C5" w:rsidP="001E3B9D"/>
    <w:p w14:paraId="387DB45D" w14:textId="77777777" w:rsidR="008578E1" w:rsidRDefault="008578E1" w:rsidP="001E3B9D"/>
    <w:p w14:paraId="7D533571" w14:textId="002D3E07" w:rsidR="001E3B9D" w:rsidRDefault="004A086A" w:rsidP="004A086A">
      <w:r>
        <w:t xml:space="preserve">Final Slide – </w:t>
      </w:r>
      <w:r w:rsidRPr="004A086A">
        <w:rPr>
          <w:b/>
        </w:rPr>
        <w:t xml:space="preserve">Learn More at: </w:t>
      </w:r>
    </w:p>
    <w:p w14:paraId="6D3B8DAF" w14:textId="77777777" w:rsidR="004A086A" w:rsidRDefault="004A086A" w:rsidP="001E3B9D"/>
    <w:p w14:paraId="784C88B8" w14:textId="1CE59FA5" w:rsidR="004A086A" w:rsidRDefault="00B7052A" w:rsidP="001E3B9D">
      <w:hyperlink r:id="rId6" w:history="1">
        <w:r w:rsidR="004A086A" w:rsidRPr="00430B03">
          <w:rPr>
            <w:rStyle w:val="Hyperlink"/>
          </w:rPr>
          <w:t>http://www.explorevr.org/returntoworkssdi</w:t>
        </w:r>
      </w:hyperlink>
      <w:r w:rsidR="004A086A">
        <w:t xml:space="preserve"> </w:t>
      </w:r>
    </w:p>
    <w:p w14:paraId="20B76BE3" w14:textId="77777777" w:rsidR="004A086A" w:rsidRDefault="004A086A" w:rsidP="001E3B9D"/>
    <w:p w14:paraId="7C363831" w14:textId="77777777" w:rsidR="001E3B9D" w:rsidRDefault="001E3B9D" w:rsidP="001E3B9D"/>
    <w:p w14:paraId="62B1559A" w14:textId="77777777" w:rsidR="004A086A" w:rsidRDefault="004A086A"/>
    <w:p w14:paraId="482DE497" w14:textId="77777777" w:rsidR="004A086A" w:rsidRDefault="004A086A"/>
    <w:p w14:paraId="178EFE07" w14:textId="13470CCB" w:rsidR="004A086A" w:rsidRDefault="00FD572B">
      <w:r>
        <w:t xml:space="preserve"> </w:t>
      </w:r>
    </w:p>
    <w:sectPr w:rsidR="004A086A" w:rsidSect="00365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A00002AF" w:usb1="400078FB"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C10A4"/>
    <w:multiLevelType w:val="hybridMultilevel"/>
    <w:tmpl w:val="28188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2A1AE2"/>
    <w:multiLevelType w:val="hybridMultilevel"/>
    <w:tmpl w:val="AC9EA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245E24"/>
    <w:multiLevelType w:val="hybridMultilevel"/>
    <w:tmpl w:val="6F8E1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514F54"/>
    <w:multiLevelType w:val="hybridMultilevel"/>
    <w:tmpl w:val="2DDA63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D9E5311"/>
    <w:multiLevelType w:val="hybridMultilevel"/>
    <w:tmpl w:val="E85462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B93546"/>
    <w:multiLevelType w:val="hybridMultilevel"/>
    <w:tmpl w:val="E06E8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B9D"/>
    <w:rsid w:val="00033844"/>
    <w:rsid w:val="00036F39"/>
    <w:rsid w:val="000675EF"/>
    <w:rsid w:val="00073CE4"/>
    <w:rsid w:val="0008246D"/>
    <w:rsid w:val="000A1191"/>
    <w:rsid w:val="000A3E66"/>
    <w:rsid w:val="000D0ED1"/>
    <w:rsid w:val="000E773F"/>
    <w:rsid w:val="000F53A6"/>
    <w:rsid w:val="001048A6"/>
    <w:rsid w:val="00110873"/>
    <w:rsid w:val="00113CD5"/>
    <w:rsid w:val="0011713E"/>
    <w:rsid w:val="001361C7"/>
    <w:rsid w:val="00136E93"/>
    <w:rsid w:val="001379A1"/>
    <w:rsid w:val="0014635F"/>
    <w:rsid w:val="00147A9E"/>
    <w:rsid w:val="00155BB7"/>
    <w:rsid w:val="00165FBE"/>
    <w:rsid w:val="00183FF6"/>
    <w:rsid w:val="001A0DA2"/>
    <w:rsid w:val="001B40D9"/>
    <w:rsid w:val="001C43FF"/>
    <w:rsid w:val="001D4F87"/>
    <w:rsid w:val="001E104B"/>
    <w:rsid w:val="001E2550"/>
    <w:rsid w:val="001E3B9D"/>
    <w:rsid w:val="00212BC1"/>
    <w:rsid w:val="00220FD7"/>
    <w:rsid w:val="00234D2D"/>
    <w:rsid w:val="00246C0E"/>
    <w:rsid w:val="002607B2"/>
    <w:rsid w:val="00264580"/>
    <w:rsid w:val="00264F09"/>
    <w:rsid w:val="002727B9"/>
    <w:rsid w:val="00276040"/>
    <w:rsid w:val="00276490"/>
    <w:rsid w:val="002833BF"/>
    <w:rsid w:val="00290092"/>
    <w:rsid w:val="002926DB"/>
    <w:rsid w:val="00296FC2"/>
    <w:rsid w:val="002B0372"/>
    <w:rsid w:val="002B6079"/>
    <w:rsid w:val="002C2646"/>
    <w:rsid w:val="002C45A4"/>
    <w:rsid w:val="002E1BC0"/>
    <w:rsid w:val="002E59FD"/>
    <w:rsid w:val="00310536"/>
    <w:rsid w:val="00314A79"/>
    <w:rsid w:val="00315E1B"/>
    <w:rsid w:val="00317B8B"/>
    <w:rsid w:val="00317F21"/>
    <w:rsid w:val="00320492"/>
    <w:rsid w:val="00320CFB"/>
    <w:rsid w:val="00323A00"/>
    <w:rsid w:val="00323FE4"/>
    <w:rsid w:val="00331C4D"/>
    <w:rsid w:val="00331DC7"/>
    <w:rsid w:val="00346A0F"/>
    <w:rsid w:val="003565EE"/>
    <w:rsid w:val="00365099"/>
    <w:rsid w:val="00373AB6"/>
    <w:rsid w:val="00374951"/>
    <w:rsid w:val="00394454"/>
    <w:rsid w:val="00397CCD"/>
    <w:rsid w:val="003A77C6"/>
    <w:rsid w:val="003C6815"/>
    <w:rsid w:val="003C743A"/>
    <w:rsid w:val="003D5DAC"/>
    <w:rsid w:val="003E5962"/>
    <w:rsid w:val="003F116C"/>
    <w:rsid w:val="003F65B4"/>
    <w:rsid w:val="00402A17"/>
    <w:rsid w:val="00406BCC"/>
    <w:rsid w:val="00416637"/>
    <w:rsid w:val="004204CC"/>
    <w:rsid w:val="004426C8"/>
    <w:rsid w:val="00453D01"/>
    <w:rsid w:val="00454867"/>
    <w:rsid w:val="004758A1"/>
    <w:rsid w:val="00481918"/>
    <w:rsid w:val="00482B8A"/>
    <w:rsid w:val="00484541"/>
    <w:rsid w:val="00497CB5"/>
    <w:rsid w:val="004A086A"/>
    <w:rsid w:val="004B687B"/>
    <w:rsid w:val="004C2D2C"/>
    <w:rsid w:val="004D37F4"/>
    <w:rsid w:val="004E09C4"/>
    <w:rsid w:val="004F2894"/>
    <w:rsid w:val="004F41BD"/>
    <w:rsid w:val="004F506F"/>
    <w:rsid w:val="004F6985"/>
    <w:rsid w:val="004F7E42"/>
    <w:rsid w:val="0052281B"/>
    <w:rsid w:val="00540343"/>
    <w:rsid w:val="00570A21"/>
    <w:rsid w:val="005838E7"/>
    <w:rsid w:val="00587923"/>
    <w:rsid w:val="005D46B1"/>
    <w:rsid w:val="005E5F2E"/>
    <w:rsid w:val="005E603C"/>
    <w:rsid w:val="005F78AE"/>
    <w:rsid w:val="00600096"/>
    <w:rsid w:val="0060768B"/>
    <w:rsid w:val="00637EE8"/>
    <w:rsid w:val="00641966"/>
    <w:rsid w:val="00656CC5"/>
    <w:rsid w:val="006668F4"/>
    <w:rsid w:val="00670323"/>
    <w:rsid w:val="0068247F"/>
    <w:rsid w:val="00683342"/>
    <w:rsid w:val="006877B5"/>
    <w:rsid w:val="00691DFF"/>
    <w:rsid w:val="006A53B7"/>
    <w:rsid w:val="006B72FC"/>
    <w:rsid w:val="006B775D"/>
    <w:rsid w:val="006B7F05"/>
    <w:rsid w:val="006C1656"/>
    <w:rsid w:val="006C4A4A"/>
    <w:rsid w:val="006D1BF9"/>
    <w:rsid w:val="006E3A86"/>
    <w:rsid w:val="006F66B6"/>
    <w:rsid w:val="007002FB"/>
    <w:rsid w:val="00702D4A"/>
    <w:rsid w:val="00720330"/>
    <w:rsid w:val="00731A00"/>
    <w:rsid w:val="00740779"/>
    <w:rsid w:val="00742ADE"/>
    <w:rsid w:val="00764D8E"/>
    <w:rsid w:val="007A2425"/>
    <w:rsid w:val="007B04E6"/>
    <w:rsid w:val="007B391E"/>
    <w:rsid w:val="007D510E"/>
    <w:rsid w:val="007E14A2"/>
    <w:rsid w:val="007E6C05"/>
    <w:rsid w:val="007F5B6E"/>
    <w:rsid w:val="007F781B"/>
    <w:rsid w:val="0081223A"/>
    <w:rsid w:val="00821D10"/>
    <w:rsid w:val="008235FE"/>
    <w:rsid w:val="00825436"/>
    <w:rsid w:val="00830280"/>
    <w:rsid w:val="0083196F"/>
    <w:rsid w:val="008405B1"/>
    <w:rsid w:val="008406ED"/>
    <w:rsid w:val="00844E6D"/>
    <w:rsid w:val="00853A2D"/>
    <w:rsid w:val="008578E1"/>
    <w:rsid w:val="0086224D"/>
    <w:rsid w:val="00862275"/>
    <w:rsid w:val="0086270E"/>
    <w:rsid w:val="00862775"/>
    <w:rsid w:val="00896B37"/>
    <w:rsid w:val="008B2D6C"/>
    <w:rsid w:val="008B496A"/>
    <w:rsid w:val="008B7405"/>
    <w:rsid w:val="008C1C50"/>
    <w:rsid w:val="008C3434"/>
    <w:rsid w:val="008C3491"/>
    <w:rsid w:val="008D50C5"/>
    <w:rsid w:val="008E11FE"/>
    <w:rsid w:val="008F12F5"/>
    <w:rsid w:val="009009F1"/>
    <w:rsid w:val="00902744"/>
    <w:rsid w:val="009142BA"/>
    <w:rsid w:val="00915DDF"/>
    <w:rsid w:val="00917735"/>
    <w:rsid w:val="00934870"/>
    <w:rsid w:val="00937715"/>
    <w:rsid w:val="009623D2"/>
    <w:rsid w:val="00971AF7"/>
    <w:rsid w:val="0098137B"/>
    <w:rsid w:val="00982B60"/>
    <w:rsid w:val="00984999"/>
    <w:rsid w:val="009A3682"/>
    <w:rsid w:val="009B0C11"/>
    <w:rsid w:val="009C574F"/>
    <w:rsid w:val="009D2265"/>
    <w:rsid w:val="009D3C81"/>
    <w:rsid w:val="009F3780"/>
    <w:rsid w:val="009F4151"/>
    <w:rsid w:val="00A163BC"/>
    <w:rsid w:val="00A305EC"/>
    <w:rsid w:val="00A32A97"/>
    <w:rsid w:val="00A43170"/>
    <w:rsid w:val="00A65C1B"/>
    <w:rsid w:val="00A712A8"/>
    <w:rsid w:val="00A95474"/>
    <w:rsid w:val="00AA2EA6"/>
    <w:rsid w:val="00AB01C5"/>
    <w:rsid w:val="00AB058D"/>
    <w:rsid w:val="00AB3BF1"/>
    <w:rsid w:val="00AB6F26"/>
    <w:rsid w:val="00AB71E3"/>
    <w:rsid w:val="00AC57AD"/>
    <w:rsid w:val="00AD1139"/>
    <w:rsid w:val="00AD49DC"/>
    <w:rsid w:val="00AE7BF9"/>
    <w:rsid w:val="00AF3517"/>
    <w:rsid w:val="00B11A9D"/>
    <w:rsid w:val="00B222AE"/>
    <w:rsid w:val="00B256E5"/>
    <w:rsid w:val="00B46EF1"/>
    <w:rsid w:val="00B66389"/>
    <w:rsid w:val="00B7052A"/>
    <w:rsid w:val="00B711A0"/>
    <w:rsid w:val="00B9353D"/>
    <w:rsid w:val="00BA588C"/>
    <w:rsid w:val="00BB0D4D"/>
    <w:rsid w:val="00BC2403"/>
    <w:rsid w:val="00BC28B2"/>
    <w:rsid w:val="00BC75E7"/>
    <w:rsid w:val="00BD7ED4"/>
    <w:rsid w:val="00BE6270"/>
    <w:rsid w:val="00BE7516"/>
    <w:rsid w:val="00BF7F9D"/>
    <w:rsid w:val="00C00808"/>
    <w:rsid w:val="00C0571C"/>
    <w:rsid w:val="00C10438"/>
    <w:rsid w:val="00C14A8D"/>
    <w:rsid w:val="00C1795E"/>
    <w:rsid w:val="00C20695"/>
    <w:rsid w:val="00C26F39"/>
    <w:rsid w:val="00C40AED"/>
    <w:rsid w:val="00C47B36"/>
    <w:rsid w:val="00C5140B"/>
    <w:rsid w:val="00C663E1"/>
    <w:rsid w:val="00C67E07"/>
    <w:rsid w:val="00C76675"/>
    <w:rsid w:val="00C92732"/>
    <w:rsid w:val="00CB07F1"/>
    <w:rsid w:val="00CC3166"/>
    <w:rsid w:val="00CC370F"/>
    <w:rsid w:val="00CC5D51"/>
    <w:rsid w:val="00CC756D"/>
    <w:rsid w:val="00CF082E"/>
    <w:rsid w:val="00D16940"/>
    <w:rsid w:val="00D16E33"/>
    <w:rsid w:val="00D17693"/>
    <w:rsid w:val="00D33944"/>
    <w:rsid w:val="00D47334"/>
    <w:rsid w:val="00D64F6F"/>
    <w:rsid w:val="00D70B4D"/>
    <w:rsid w:val="00D753C4"/>
    <w:rsid w:val="00D76D08"/>
    <w:rsid w:val="00DF095F"/>
    <w:rsid w:val="00DF545B"/>
    <w:rsid w:val="00E172F0"/>
    <w:rsid w:val="00E5184E"/>
    <w:rsid w:val="00E613F0"/>
    <w:rsid w:val="00E7366D"/>
    <w:rsid w:val="00E83737"/>
    <w:rsid w:val="00EA1948"/>
    <w:rsid w:val="00EA7C07"/>
    <w:rsid w:val="00EE1DEB"/>
    <w:rsid w:val="00EF70D9"/>
    <w:rsid w:val="00F12D18"/>
    <w:rsid w:val="00F13BD1"/>
    <w:rsid w:val="00F16BB1"/>
    <w:rsid w:val="00F22F98"/>
    <w:rsid w:val="00F3384A"/>
    <w:rsid w:val="00F361D3"/>
    <w:rsid w:val="00F733A5"/>
    <w:rsid w:val="00F85A61"/>
    <w:rsid w:val="00F90AF6"/>
    <w:rsid w:val="00F967A0"/>
    <w:rsid w:val="00F9706E"/>
    <w:rsid w:val="00FA1159"/>
    <w:rsid w:val="00FB623C"/>
    <w:rsid w:val="00FD26F6"/>
    <w:rsid w:val="00FD4BF1"/>
    <w:rsid w:val="00FD572B"/>
    <w:rsid w:val="00FF3C1B"/>
    <w:rsid w:val="00FF7C17"/>
    <w:rsid w:val="00FF7E7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7C1F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A3682"/>
    <w:rPr>
      <w:sz w:val="18"/>
      <w:szCs w:val="18"/>
    </w:rPr>
  </w:style>
  <w:style w:type="paragraph" w:styleId="CommentText">
    <w:name w:val="annotation text"/>
    <w:basedOn w:val="Normal"/>
    <w:link w:val="CommentTextChar"/>
    <w:uiPriority w:val="99"/>
    <w:semiHidden/>
    <w:unhideWhenUsed/>
    <w:rsid w:val="009A3682"/>
  </w:style>
  <w:style w:type="character" w:customStyle="1" w:styleId="CommentTextChar">
    <w:name w:val="Comment Text Char"/>
    <w:basedOn w:val="DefaultParagraphFont"/>
    <w:link w:val="CommentText"/>
    <w:uiPriority w:val="99"/>
    <w:semiHidden/>
    <w:rsid w:val="009A3682"/>
  </w:style>
  <w:style w:type="paragraph" w:styleId="CommentSubject">
    <w:name w:val="annotation subject"/>
    <w:basedOn w:val="CommentText"/>
    <w:next w:val="CommentText"/>
    <w:link w:val="CommentSubjectChar"/>
    <w:uiPriority w:val="99"/>
    <w:semiHidden/>
    <w:unhideWhenUsed/>
    <w:rsid w:val="009A3682"/>
    <w:rPr>
      <w:b/>
      <w:bCs/>
      <w:sz w:val="20"/>
      <w:szCs w:val="20"/>
    </w:rPr>
  </w:style>
  <w:style w:type="character" w:customStyle="1" w:styleId="CommentSubjectChar">
    <w:name w:val="Comment Subject Char"/>
    <w:basedOn w:val="CommentTextChar"/>
    <w:link w:val="CommentSubject"/>
    <w:uiPriority w:val="99"/>
    <w:semiHidden/>
    <w:rsid w:val="009A3682"/>
    <w:rPr>
      <w:b/>
      <w:bCs/>
      <w:sz w:val="20"/>
      <w:szCs w:val="20"/>
    </w:rPr>
  </w:style>
  <w:style w:type="paragraph" w:styleId="BalloonText">
    <w:name w:val="Balloon Text"/>
    <w:basedOn w:val="Normal"/>
    <w:link w:val="BalloonTextChar"/>
    <w:uiPriority w:val="99"/>
    <w:semiHidden/>
    <w:unhideWhenUsed/>
    <w:rsid w:val="009A368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A3682"/>
    <w:rPr>
      <w:rFonts w:ascii="Times New Roman" w:hAnsi="Times New Roman" w:cs="Times New Roman"/>
      <w:sz w:val="18"/>
      <w:szCs w:val="18"/>
    </w:rPr>
  </w:style>
  <w:style w:type="paragraph" w:styleId="ListParagraph">
    <w:name w:val="List Paragraph"/>
    <w:basedOn w:val="Normal"/>
    <w:uiPriority w:val="34"/>
    <w:qFormat/>
    <w:rsid w:val="009A3682"/>
    <w:pPr>
      <w:ind w:left="720"/>
      <w:contextualSpacing/>
    </w:pPr>
  </w:style>
  <w:style w:type="table" w:customStyle="1" w:styleId="LightList1">
    <w:name w:val="Light List1"/>
    <w:basedOn w:val="TableNormal"/>
    <w:uiPriority w:val="61"/>
    <w:locked/>
    <w:rsid w:val="006668F4"/>
    <w:rPr>
      <w:rFonts w:eastAsiaTheme="minorEastAsia"/>
      <w:sz w:val="22"/>
      <w:szCs w:val="22"/>
      <w:lang w:bidi="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ableText">
    <w:name w:val="Table Text"/>
    <w:basedOn w:val="Normal"/>
    <w:qFormat/>
    <w:rsid w:val="006668F4"/>
    <w:rPr>
      <w:rFonts w:ascii="Arial" w:eastAsia="Times New Roman" w:hAnsi="Arial" w:cs="Times New Roman"/>
      <w:sz w:val="18"/>
      <w:szCs w:val="20"/>
    </w:rPr>
  </w:style>
  <w:style w:type="paragraph" w:customStyle="1" w:styleId="TableSourceCaption">
    <w:name w:val="Table Source_Caption"/>
    <w:qFormat/>
    <w:rsid w:val="006668F4"/>
    <w:pPr>
      <w:tabs>
        <w:tab w:val="left" w:pos="792"/>
      </w:tabs>
      <w:spacing w:before="60"/>
      <w:ind w:left="792" w:hanging="792"/>
    </w:pPr>
    <w:rPr>
      <w:rFonts w:ascii="Arial" w:eastAsia="Times New Roman" w:hAnsi="Arial" w:cs="Times New Roman"/>
      <w:sz w:val="18"/>
      <w:szCs w:val="20"/>
    </w:rPr>
  </w:style>
  <w:style w:type="table" w:customStyle="1" w:styleId="MPRBaseTable">
    <w:name w:val="MPR Base Table"/>
    <w:basedOn w:val="TableNormal"/>
    <w:uiPriority w:val="99"/>
    <w:rsid w:val="006668F4"/>
    <w:pPr>
      <w:spacing w:line="360" w:lineRule="auto"/>
      <w:contextualSpacing/>
    </w:pPr>
    <w:rPr>
      <w:rFonts w:ascii="Arial" w:eastAsiaTheme="minorEastAsia" w:hAnsi="Arial"/>
      <w:sz w:val="18"/>
    </w:rPr>
    <w:tblPr>
      <w:tblStyleRowBandSize w:val="1"/>
      <w:tblInd w:w="0" w:type="dxa"/>
      <w:tblBorders>
        <w:bottom w:val="single" w:sz="4" w:space="0" w:color="auto"/>
      </w:tblBorders>
      <w:tblCellMar>
        <w:top w:w="0" w:type="dxa"/>
        <w:left w:w="108" w:type="dxa"/>
        <w:bottom w:w="0" w:type="dxa"/>
        <w:right w:w="108" w:type="dxa"/>
      </w:tblCellMar>
    </w:tblPr>
    <w:tblStylePr w:type="firstRow">
      <w:pPr>
        <w:wordWrap/>
        <w:spacing w:beforeLines="0" w:before="120" w:beforeAutospacing="0" w:afterLines="0" w:after="60" w:afterAutospacing="0" w:line="240" w:lineRule="auto"/>
        <w:ind w:leftChars="0" w:left="0" w:rightChars="0" w:right="0" w:firstLineChars="0" w:firstLine="0"/>
        <w:contextualSpacing w:val="0"/>
        <w:jc w:val="center"/>
        <w:outlineLvl w:val="9"/>
      </w:pPr>
      <w:rPr>
        <w:rFonts w:ascii="Arial" w:hAnsi="Arial"/>
        <w:b/>
        <w:i w:val="0"/>
        <w:caps w:val="0"/>
        <w:smallCaps w:val="0"/>
        <w:strike w:val="0"/>
        <w:dstrike w:val="0"/>
        <w:outline w:val="0"/>
        <w:shadow w:val="0"/>
        <w:emboss w:val="0"/>
        <w:imprint w:val="0"/>
        <w:vanish w:val="0"/>
        <w:color w:val="FFFFFF" w:themeColor="background1"/>
        <w:spacing w:val="0"/>
        <w:kern w:val="0"/>
        <w:position w:val="6"/>
        <w:sz w:val="18"/>
        <w:u w:val="none"/>
        <w:vertAlign w:val="baseline"/>
      </w:rPr>
      <w:tblPr/>
      <w:trPr>
        <w:cantSplit/>
      </w:trPr>
      <w:tcPr>
        <w:tcBorders>
          <w:top w:val="nil"/>
          <w:left w:val="nil"/>
          <w:bottom w:val="nil"/>
          <w:right w:val="nil"/>
          <w:insideH w:val="nil"/>
          <w:insideV w:val="nil"/>
          <w:tl2br w:val="nil"/>
          <w:tr2bl w:val="nil"/>
        </w:tcBorders>
        <w:shd w:val="clear" w:color="auto" w:fill="6C6F70"/>
        <w:vAlign w:val="bottom"/>
      </w:tcPr>
    </w:tblStylePr>
    <w:tblStylePr w:type="lastRow">
      <w:rPr>
        <w:b/>
      </w:rPr>
    </w:tblStylePr>
    <w:tblStylePr w:type="firstCol">
      <w:pPr>
        <w:wordWrap/>
        <w:spacing w:beforeLines="0" w:beforeAutospacing="0" w:afterLines="0" w:afterAutospacing="0"/>
        <w:contextualSpacing/>
        <w:jc w:val="left"/>
      </w:pPr>
    </w:tblStylePr>
    <w:tblStylePr w:type="band1Horz">
      <w:pPr>
        <w:wordWrap/>
        <w:spacing w:beforeLines="0" w:beforeAutospacing="0" w:afterLines="0" w:afterAutospacing="0" w:line="240" w:lineRule="auto"/>
        <w:contextualSpacing/>
      </w:pPr>
    </w:tblStylePr>
    <w:tblStylePr w:type="band2Horz">
      <w:pPr>
        <w:wordWrap/>
        <w:spacing w:beforeLines="0" w:beforeAutospacing="0" w:afterLines="0" w:afterAutospacing="0" w:line="240" w:lineRule="auto"/>
      </w:pPr>
    </w:tblStylePr>
    <w:tblStylePr w:type="neCell">
      <w:tblPr/>
      <w:trPr>
        <w:cantSplit/>
      </w:trPr>
    </w:tblStylePr>
    <w:tblStylePr w:type="nwCell">
      <w:pPr>
        <w:wordWrap/>
        <w:spacing w:beforeLines="0" w:before="120" w:beforeAutospacing="0" w:afterLines="0" w:after="60" w:afterAutospacing="0" w:line="240" w:lineRule="auto"/>
        <w:ind w:leftChars="0" w:left="0" w:rightChars="0" w:right="0" w:firstLineChars="0" w:firstLine="0"/>
        <w:jc w:val="left"/>
        <w:outlineLvl w:val="9"/>
      </w:pPr>
      <w:rPr>
        <w:rFonts w:ascii="Arial" w:hAnsi="Arial"/>
        <w:b/>
        <w:i w:val="0"/>
        <w:caps w:val="0"/>
        <w:smallCaps w:val="0"/>
        <w:strike w:val="0"/>
        <w:dstrike w:val="0"/>
        <w:outline w:val="0"/>
        <w:shadow w:val="0"/>
        <w:emboss w:val="0"/>
        <w:imprint w:val="0"/>
        <w:vanish w:val="0"/>
        <w:color w:val="FFFFFF" w:themeColor="background1"/>
        <w:sz w:val="18"/>
        <w:u w:val="none"/>
        <w:vertAlign w:val="baseline"/>
      </w:rPr>
      <w:tblPr/>
      <w:trPr>
        <w:cantSplit/>
      </w:trPr>
      <w:tcPr>
        <w:tcBorders>
          <w:top w:val="nil"/>
          <w:left w:val="nil"/>
          <w:bottom w:val="nil"/>
          <w:right w:val="nil"/>
          <w:insideH w:val="nil"/>
          <w:insideV w:val="nil"/>
          <w:tl2br w:val="nil"/>
          <w:tr2bl w:val="nil"/>
        </w:tcBorders>
        <w:shd w:val="clear" w:color="auto" w:fill="6C6F70"/>
        <w:vAlign w:val="bottom"/>
      </w:tcPr>
    </w:tblStylePr>
  </w:style>
  <w:style w:type="paragraph" w:customStyle="1" w:styleId="MarkforTableTitle">
    <w:name w:val="Mark for Table Title"/>
    <w:basedOn w:val="Normal"/>
    <w:next w:val="Normal"/>
    <w:qFormat/>
    <w:rsid w:val="00AA2EA6"/>
    <w:pPr>
      <w:keepNext/>
      <w:spacing w:after="60"/>
    </w:pPr>
    <w:rPr>
      <w:rFonts w:ascii="Arial Black" w:eastAsia="Times New Roman" w:hAnsi="Arial Black" w:cs="Times New Roman"/>
      <w:sz w:val="22"/>
      <w:szCs w:val="20"/>
    </w:rPr>
  </w:style>
  <w:style w:type="table" w:styleId="LightList">
    <w:name w:val="Light List"/>
    <w:basedOn w:val="TableNormal"/>
    <w:uiPriority w:val="61"/>
    <w:rsid w:val="00AA2EA6"/>
    <w:rPr>
      <w:rFonts w:eastAsiaTheme="minorEastAsia"/>
      <w:sz w:val="22"/>
      <w:szCs w:val="22"/>
      <w:lang w:bidi="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ableFootnoteCaption">
    <w:name w:val="Table Footnote_Caption"/>
    <w:qFormat/>
    <w:rsid w:val="00F90AF6"/>
    <w:pPr>
      <w:tabs>
        <w:tab w:val="left" w:pos="1080"/>
      </w:tabs>
      <w:spacing w:before="60"/>
    </w:pPr>
    <w:rPr>
      <w:rFonts w:ascii="Arial" w:eastAsia="Times New Roman" w:hAnsi="Arial" w:cs="Times New Roman"/>
      <w:sz w:val="18"/>
      <w:szCs w:val="20"/>
    </w:rPr>
  </w:style>
  <w:style w:type="character" w:styleId="Hyperlink">
    <w:name w:val="Hyperlink"/>
    <w:basedOn w:val="DefaultParagraphFont"/>
    <w:uiPriority w:val="99"/>
    <w:unhideWhenUsed/>
    <w:rsid w:val="004A08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4357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explorevr.org/returntoworkssdi"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C55606B-135F-0F45-BA46-7F8888372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557</Words>
  <Characters>3177</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2017-09-13T03:46:00Z</dcterms:created>
  <dcterms:modified xsi:type="dcterms:W3CDTF">2017-09-14T18:18:00Z</dcterms:modified>
</cp:coreProperties>
</file>