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1004D" w14:textId="731706B9" w:rsidR="00193335" w:rsidRPr="005252E5" w:rsidRDefault="00193335" w:rsidP="00193335">
      <w:pPr>
        <w:pStyle w:val="NoSpacing"/>
        <w:rPr>
          <w:b/>
          <w:sz w:val="24"/>
          <w:szCs w:val="24"/>
        </w:rPr>
      </w:pPr>
      <w:r>
        <w:rPr>
          <w:b/>
          <w:sz w:val="24"/>
          <w:szCs w:val="24"/>
        </w:rPr>
        <w:t>Figure 1</w:t>
      </w:r>
    </w:p>
    <w:p w14:paraId="41352F5D" w14:textId="267DE102" w:rsidR="00193335" w:rsidRDefault="00193335" w:rsidP="00193335">
      <w:pPr>
        <w:pStyle w:val="NoSpacing"/>
        <w:rPr>
          <w:sz w:val="24"/>
          <w:szCs w:val="24"/>
        </w:rPr>
      </w:pPr>
      <w:r>
        <w:rPr>
          <w:sz w:val="24"/>
          <w:szCs w:val="24"/>
        </w:rPr>
        <w:t>Figure 1 is a diagram titled High Performing Model. There are 4 parts to the diagram. The first one is a dotted circle with the word “Catalysts” on top. Inside the circle are the words “Leadership” and “Values.” There is an arrow pointing right to the next part – a square with the word “Strategy” on top and the words “Policy and Goals”, “Financing”, “Training and TA”, “Service Innovation”, and “Outcome Data” below. Next, there is another right-pointing arrow to a rectangle with the words “Integrated Jobs.” Lastly, there is an oval underneath the 3 parts described above called “Interagency Collaboration” with 3 arrows pointing up to Catalysts, Strategy and Integrated Jobs. </w:t>
      </w:r>
      <w:r>
        <w:rPr>
          <w:rFonts w:ascii="Calibri" w:eastAsia="Times New Roman" w:hAnsi="Calibri" w:cs="Times New Roman"/>
          <w:sz w:val="24"/>
          <w:szCs w:val="24"/>
        </w:rPr>
        <w:t>The model is meant to represent the idea that each element (leadership, values, policy &amp; goals, financing, training and TA, service innovation, outcome data, and interagency collaboration) plays an important role in maximizing employment outcomes.</w:t>
      </w:r>
    </w:p>
    <w:p w14:paraId="267F753A" w14:textId="77777777" w:rsidR="00193335" w:rsidRDefault="00193335" w:rsidP="00152BB1">
      <w:pPr>
        <w:pStyle w:val="NoSpacing"/>
        <w:rPr>
          <w:b/>
          <w:sz w:val="24"/>
          <w:szCs w:val="24"/>
        </w:rPr>
      </w:pPr>
    </w:p>
    <w:p w14:paraId="4D3CD7F6" w14:textId="68847EA9" w:rsidR="003F60A9" w:rsidRPr="00152BB1" w:rsidRDefault="00193335" w:rsidP="00152BB1">
      <w:pPr>
        <w:pStyle w:val="NoSpacing"/>
        <w:rPr>
          <w:b/>
          <w:sz w:val="24"/>
          <w:szCs w:val="24"/>
        </w:rPr>
      </w:pPr>
      <w:r>
        <w:rPr>
          <w:b/>
          <w:sz w:val="24"/>
          <w:szCs w:val="24"/>
        </w:rPr>
        <w:t>Figure 2</w:t>
      </w:r>
    </w:p>
    <w:p w14:paraId="3235D20F" w14:textId="2865A088" w:rsidR="00552152" w:rsidRDefault="00552152" w:rsidP="00152BB1">
      <w:pPr>
        <w:pStyle w:val="NoSpacing"/>
        <w:rPr>
          <w:sz w:val="24"/>
          <w:szCs w:val="24"/>
        </w:rPr>
      </w:pPr>
      <w:r w:rsidRPr="00152BB1">
        <w:rPr>
          <w:sz w:val="24"/>
          <w:szCs w:val="24"/>
        </w:rPr>
        <w:t xml:space="preserve">Figure </w:t>
      </w:r>
      <w:r w:rsidR="00193335">
        <w:rPr>
          <w:sz w:val="24"/>
          <w:szCs w:val="24"/>
        </w:rPr>
        <w:t>2</w:t>
      </w:r>
      <w:r w:rsidRPr="00152BB1">
        <w:rPr>
          <w:sz w:val="24"/>
          <w:szCs w:val="24"/>
        </w:rPr>
        <w:t xml:space="preserve"> displays two trend lines. One trend line represents the estimated total number of people served by state IDD Agencies. The second trend line represents the estimated number served in integrated employment</w:t>
      </w:r>
      <w:r w:rsidR="002D1801" w:rsidRPr="00152BB1">
        <w:rPr>
          <w:sz w:val="24"/>
          <w:szCs w:val="24"/>
        </w:rPr>
        <w:t xml:space="preserve">. The trend line timeline spans </w:t>
      </w:r>
      <w:r w:rsidR="00193335">
        <w:rPr>
          <w:sz w:val="24"/>
          <w:szCs w:val="24"/>
        </w:rPr>
        <w:t>from 1988 to 2011</w:t>
      </w:r>
      <w:r w:rsidR="00FD73A9">
        <w:rPr>
          <w:sz w:val="24"/>
          <w:szCs w:val="24"/>
        </w:rPr>
        <w:t xml:space="preserve"> and includes data from the foll</w:t>
      </w:r>
      <w:r w:rsidR="00E57BAC">
        <w:rPr>
          <w:sz w:val="24"/>
          <w:szCs w:val="24"/>
        </w:rPr>
        <w:t xml:space="preserve">owing years: 1988, 1990, 1993, </w:t>
      </w:r>
      <w:r w:rsidR="00FD73A9">
        <w:rPr>
          <w:sz w:val="24"/>
          <w:szCs w:val="24"/>
        </w:rPr>
        <w:t>1996, 1999, 2001, 2004, 2007, 2008, 2009, 2010</w:t>
      </w:r>
      <w:r w:rsidR="00193335">
        <w:rPr>
          <w:sz w:val="24"/>
          <w:szCs w:val="24"/>
        </w:rPr>
        <w:t>, and 2011</w:t>
      </w:r>
      <w:r w:rsidR="00DB6BEA">
        <w:rPr>
          <w:sz w:val="24"/>
          <w:szCs w:val="24"/>
        </w:rPr>
        <w:t>.</w:t>
      </w:r>
      <w:r w:rsidR="00301A0A" w:rsidRPr="00152BB1">
        <w:rPr>
          <w:sz w:val="24"/>
          <w:szCs w:val="24"/>
        </w:rPr>
        <w:t xml:space="preserve"> </w:t>
      </w:r>
      <w:r w:rsidR="00265ACD" w:rsidRPr="00152BB1">
        <w:rPr>
          <w:sz w:val="24"/>
          <w:szCs w:val="24"/>
        </w:rPr>
        <w:t>The graph shows that i</w:t>
      </w:r>
      <w:r w:rsidR="00301A0A" w:rsidRPr="00152BB1">
        <w:rPr>
          <w:sz w:val="24"/>
          <w:szCs w:val="24"/>
        </w:rPr>
        <w:t xml:space="preserve">n </w:t>
      </w:r>
      <w:r w:rsidR="00265ACD" w:rsidRPr="00152BB1">
        <w:rPr>
          <w:sz w:val="24"/>
          <w:szCs w:val="24"/>
        </w:rPr>
        <w:t>1988, 287,860 people were served</w:t>
      </w:r>
      <w:r w:rsidR="003F60A9" w:rsidRPr="00152BB1">
        <w:rPr>
          <w:sz w:val="24"/>
          <w:szCs w:val="24"/>
        </w:rPr>
        <w:t xml:space="preserve"> by</w:t>
      </w:r>
      <w:r w:rsidR="00265ACD" w:rsidRPr="00152BB1">
        <w:rPr>
          <w:sz w:val="24"/>
          <w:szCs w:val="24"/>
        </w:rPr>
        <w:t xml:space="preserve"> </w:t>
      </w:r>
      <w:r w:rsidR="003F60A9" w:rsidRPr="00152BB1">
        <w:rPr>
          <w:sz w:val="24"/>
          <w:szCs w:val="24"/>
        </w:rPr>
        <w:t xml:space="preserve">state IDD Agencies </w:t>
      </w:r>
      <w:r w:rsidR="00265ACD" w:rsidRPr="00152BB1">
        <w:rPr>
          <w:sz w:val="24"/>
          <w:szCs w:val="24"/>
        </w:rPr>
        <w:t>and 33,5</w:t>
      </w:r>
      <w:r w:rsidR="00193335">
        <w:rPr>
          <w:sz w:val="24"/>
          <w:szCs w:val="24"/>
        </w:rPr>
        <w:t>41</w:t>
      </w:r>
      <w:r w:rsidR="00265ACD" w:rsidRPr="00152BB1">
        <w:rPr>
          <w:sz w:val="24"/>
          <w:szCs w:val="24"/>
        </w:rPr>
        <w:t xml:space="preserve"> were </w:t>
      </w:r>
      <w:r w:rsidR="003F60A9" w:rsidRPr="00152BB1">
        <w:rPr>
          <w:sz w:val="24"/>
          <w:szCs w:val="24"/>
        </w:rPr>
        <w:t xml:space="preserve">served in </w:t>
      </w:r>
      <w:r w:rsidR="00D1742A" w:rsidRPr="00152BB1">
        <w:rPr>
          <w:sz w:val="24"/>
          <w:szCs w:val="24"/>
        </w:rPr>
        <w:t>integrated</w:t>
      </w:r>
      <w:r w:rsidR="003F60A9" w:rsidRPr="00152BB1">
        <w:rPr>
          <w:sz w:val="24"/>
          <w:szCs w:val="24"/>
        </w:rPr>
        <w:t xml:space="preserve"> employment. The trend line increases from 1988 to 201</w:t>
      </w:r>
      <w:r w:rsidR="00193335">
        <w:rPr>
          <w:sz w:val="24"/>
          <w:szCs w:val="24"/>
        </w:rPr>
        <w:t>1</w:t>
      </w:r>
      <w:r w:rsidR="003F60A9" w:rsidRPr="00152BB1">
        <w:rPr>
          <w:sz w:val="24"/>
          <w:szCs w:val="24"/>
        </w:rPr>
        <w:t>. In 201</w:t>
      </w:r>
      <w:r w:rsidR="00193335">
        <w:rPr>
          <w:sz w:val="24"/>
          <w:szCs w:val="24"/>
        </w:rPr>
        <w:t>1</w:t>
      </w:r>
      <w:r w:rsidR="003F60A9" w:rsidRPr="00152BB1">
        <w:rPr>
          <w:sz w:val="24"/>
          <w:szCs w:val="24"/>
        </w:rPr>
        <w:t xml:space="preserve">, the graph shows that </w:t>
      </w:r>
      <w:r w:rsidR="00193335">
        <w:rPr>
          <w:sz w:val="24"/>
          <w:szCs w:val="24"/>
        </w:rPr>
        <w:t>570,406</w:t>
      </w:r>
      <w:r w:rsidR="003F60A9" w:rsidRPr="00152BB1">
        <w:rPr>
          <w:sz w:val="24"/>
          <w:szCs w:val="24"/>
        </w:rPr>
        <w:t xml:space="preserve"> people were served by State IDD agencies and </w:t>
      </w:r>
      <w:r w:rsidR="00193335">
        <w:rPr>
          <w:sz w:val="24"/>
          <w:szCs w:val="24"/>
        </w:rPr>
        <w:t>110,295</w:t>
      </w:r>
      <w:r w:rsidR="003F60A9" w:rsidRPr="00152BB1">
        <w:rPr>
          <w:sz w:val="24"/>
          <w:szCs w:val="24"/>
        </w:rPr>
        <w:t xml:space="preserve"> were served in integrated employment. </w:t>
      </w:r>
    </w:p>
    <w:p w14:paraId="25240A9C" w14:textId="77777777" w:rsidR="00193335" w:rsidRDefault="00193335" w:rsidP="00152BB1">
      <w:pPr>
        <w:pStyle w:val="NoSpacing"/>
        <w:rPr>
          <w:sz w:val="24"/>
          <w:szCs w:val="24"/>
        </w:rPr>
      </w:pPr>
    </w:p>
    <w:p w14:paraId="1254221C" w14:textId="4A358887" w:rsidR="00193335" w:rsidRPr="00152BB1" w:rsidRDefault="00193335" w:rsidP="00193335">
      <w:pPr>
        <w:pStyle w:val="NoSpacing"/>
        <w:rPr>
          <w:b/>
          <w:sz w:val="24"/>
          <w:szCs w:val="24"/>
        </w:rPr>
      </w:pPr>
      <w:r>
        <w:rPr>
          <w:b/>
          <w:sz w:val="24"/>
          <w:szCs w:val="24"/>
        </w:rPr>
        <w:t>Figure 3</w:t>
      </w:r>
    </w:p>
    <w:p w14:paraId="40AD4D23" w14:textId="23387DA4" w:rsidR="00193335" w:rsidRPr="00152BB1" w:rsidRDefault="00193335" w:rsidP="00193335">
      <w:pPr>
        <w:pStyle w:val="NoSpacing"/>
        <w:rPr>
          <w:sz w:val="24"/>
          <w:szCs w:val="24"/>
        </w:rPr>
      </w:pPr>
      <w:r w:rsidRPr="00152BB1">
        <w:rPr>
          <w:sz w:val="24"/>
          <w:szCs w:val="24"/>
        </w:rPr>
        <w:t xml:space="preserve">Figure </w:t>
      </w:r>
      <w:r>
        <w:rPr>
          <w:sz w:val="24"/>
          <w:szCs w:val="24"/>
        </w:rPr>
        <w:t>3</w:t>
      </w:r>
      <w:r w:rsidRPr="00152BB1">
        <w:rPr>
          <w:sz w:val="24"/>
          <w:szCs w:val="24"/>
        </w:rPr>
        <w:t xml:space="preserve"> displays two trend lines. One trend line represents the estimated total number of people served by state IDD Agencies. The second trend line represents the estimated number </w:t>
      </w:r>
      <w:proofErr w:type="gramStart"/>
      <w:r w:rsidRPr="00152BB1">
        <w:rPr>
          <w:sz w:val="24"/>
          <w:szCs w:val="24"/>
        </w:rPr>
        <w:t>served</w:t>
      </w:r>
      <w:proofErr w:type="gramEnd"/>
      <w:r w:rsidRPr="00152BB1">
        <w:rPr>
          <w:sz w:val="24"/>
          <w:szCs w:val="24"/>
        </w:rPr>
        <w:t xml:space="preserve"> in integrated employment. The trend line timeline spans </w:t>
      </w:r>
      <w:r>
        <w:rPr>
          <w:sz w:val="24"/>
          <w:szCs w:val="24"/>
        </w:rPr>
        <w:t>from 1988 to 2011 and includes data from the following years: 1988, 1990, 1993, 1996, 1999, 2001, 2004, 2007, 2008, 2009, 2010, and 2011.</w:t>
      </w:r>
      <w:r w:rsidRPr="00152BB1">
        <w:rPr>
          <w:sz w:val="24"/>
          <w:szCs w:val="24"/>
        </w:rPr>
        <w:t xml:space="preserve"> The graph shows that in 1988, 287,860 people were served by state IDD Agencies and 33,5</w:t>
      </w:r>
      <w:r>
        <w:rPr>
          <w:sz w:val="24"/>
          <w:szCs w:val="24"/>
        </w:rPr>
        <w:t>41</w:t>
      </w:r>
      <w:r w:rsidRPr="00152BB1">
        <w:rPr>
          <w:sz w:val="24"/>
          <w:szCs w:val="24"/>
        </w:rPr>
        <w:t xml:space="preserve"> were served in integrated employment. The trend line increases from 1988 to 201</w:t>
      </w:r>
      <w:r>
        <w:rPr>
          <w:sz w:val="24"/>
          <w:szCs w:val="24"/>
        </w:rPr>
        <w:t>1</w:t>
      </w:r>
      <w:r w:rsidRPr="00152BB1">
        <w:rPr>
          <w:sz w:val="24"/>
          <w:szCs w:val="24"/>
        </w:rPr>
        <w:t>. In 201</w:t>
      </w:r>
      <w:r>
        <w:rPr>
          <w:sz w:val="24"/>
          <w:szCs w:val="24"/>
        </w:rPr>
        <w:t>1</w:t>
      </w:r>
      <w:r w:rsidRPr="00152BB1">
        <w:rPr>
          <w:sz w:val="24"/>
          <w:szCs w:val="24"/>
        </w:rPr>
        <w:t xml:space="preserve">, the graph shows that </w:t>
      </w:r>
      <w:r>
        <w:rPr>
          <w:sz w:val="24"/>
          <w:szCs w:val="24"/>
        </w:rPr>
        <w:t>570,406</w:t>
      </w:r>
      <w:r w:rsidRPr="00152BB1">
        <w:rPr>
          <w:sz w:val="24"/>
          <w:szCs w:val="24"/>
        </w:rPr>
        <w:t xml:space="preserve"> people were served by State IDD agencies and </w:t>
      </w:r>
      <w:r>
        <w:rPr>
          <w:sz w:val="24"/>
          <w:szCs w:val="24"/>
        </w:rPr>
        <w:t>110,295</w:t>
      </w:r>
      <w:r w:rsidRPr="00152BB1">
        <w:rPr>
          <w:sz w:val="24"/>
          <w:szCs w:val="24"/>
        </w:rPr>
        <w:t xml:space="preserve"> were served in integrated employment. </w:t>
      </w:r>
    </w:p>
    <w:p w14:paraId="72B7DADC" w14:textId="77777777" w:rsidR="00193335" w:rsidRPr="00152BB1" w:rsidRDefault="00193335" w:rsidP="00152BB1">
      <w:pPr>
        <w:pStyle w:val="NoSpacing"/>
        <w:rPr>
          <w:sz w:val="24"/>
          <w:szCs w:val="24"/>
        </w:rPr>
      </w:pPr>
    </w:p>
    <w:p w14:paraId="0045E5B6" w14:textId="244A5244" w:rsidR="003F60A9" w:rsidRPr="00152BB1" w:rsidRDefault="003F60A9" w:rsidP="00152BB1">
      <w:pPr>
        <w:pStyle w:val="NoSpacing"/>
        <w:rPr>
          <w:b/>
          <w:sz w:val="24"/>
          <w:szCs w:val="24"/>
        </w:rPr>
      </w:pPr>
      <w:r w:rsidRPr="00152BB1">
        <w:rPr>
          <w:b/>
          <w:sz w:val="24"/>
          <w:szCs w:val="24"/>
        </w:rPr>
        <w:t xml:space="preserve">Figure </w:t>
      </w:r>
      <w:r w:rsidR="00193335">
        <w:rPr>
          <w:b/>
          <w:sz w:val="24"/>
          <w:szCs w:val="24"/>
        </w:rPr>
        <w:t>4</w:t>
      </w:r>
    </w:p>
    <w:p w14:paraId="148A1E3C" w14:textId="0CB93C1D" w:rsidR="003F60A9" w:rsidRPr="00152BB1" w:rsidRDefault="00193335" w:rsidP="00152BB1">
      <w:pPr>
        <w:pStyle w:val="NoSpacing"/>
        <w:rPr>
          <w:sz w:val="24"/>
          <w:szCs w:val="24"/>
        </w:rPr>
      </w:pPr>
      <w:r>
        <w:rPr>
          <w:sz w:val="24"/>
          <w:szCs w:val="24"/>
        </w:rPr>
        <w:t>Figure 4</w:t>
      </w:r>
      <w:r w:rsidR="00D1742A" w:rsidRPr="00152BB1">
        <w:rPr>
          <w:sz w:val="24"/>
          <w:szCs w:val="24"/>
        </w:rPr>
        <w:t xml:space="preserve"> is a bar </w:t>
      </w:r>
      <w:r w:rsidR="004D4FD1">
        <w:rPr>
          <w:sz w:val="24"/>
          <w:szCs w:val="24"/>
        </w:rPr>
        <w:t>chart</w:t>
      </w:r>
      <w:r w:rsidR="004D4FD1" w:rsidRPr="00152BB1">
        <w:rPr>
          <w:sz w:val="24"/>
          <w:szCs w:val="24"/>
        </w:rPr>
        <w:t xml:space="preserve"> </w:t>
      </w:r>
      <w:r w:rsidR="00D1742A" w:rsidRPr="00152BB1">
        <w:rPr>
          <w:sz w:val="24"/>
          <w:szCs w:val="24"/>
        </w:rPr>
        <w:t>that displays estimated IDD Agency</w:t>
      </w:r>
      <w:r w:rsidR="003049A7" w:rsidRPr="00152BB1">
        <w:rPr>
          <w:sz w:val="24"/>
          <w:szCs w:val="24"/>
        </w:rPr>
        <w:t xml:space="preserve"> service</w:t>
      </w:r>
      <w:r w:rsidR="00D1742A" w:rsidRPr="00152BB1">
        <w:rPr>
          <w:sz w:val="24"/>
          <w:szCs w:val="24"/>
        </w:rPr>
        <w:t xml:space="preserve"> distribution </w:t>
      </w:r>
      <w:r w:rsidR="006862DD">
        <w:rPr>
          <w:sz w:val="24"/>
          <w:szCs w:val="24"/>
        </w:rPr>
        <w:t xml:space="preserve">for </w:t>
      </w:r>
      <w:r w:rsidR="00A76934" w:rsidRPr="00152BB1">
        <w:rPr>
          <w:sz w:val="24"/>
          <w:szCs w:val="24"/>
        </w:rPr>
        <w:t>FY</w:t>
      </w:r>
      <w:r w:rsidR="006862DD">
        <w:rPr>
          <w:sz w:val="24"/>
          <w:szCs w:val="24"/>
        </w:rPr>
        <w:t xml:space="preserve">s </w:t>
      </w:r>
      <w:r w:rsidR="00A76934" w:rsidRPr="00152BB1">
        <w:rPr>
          <w:sz w:val="24"/>
          <w:szCs w:val="24"/>
        </w:rPr>
        <w:t>2004</w:t>
      </w:r>
      <w:r w:rsidR="006862DD">
        <w:rPr>
          <w:sz w:val="24"/>
          <w:szCs w:val="24"/>
        </w:rPr>
        <w:t>, 2007, 2009</w:t>
      </w:r>
      <w:r>
        <w:rPr>
          <w:sz w:val="24"/>
          <w:szCs w:val="24"/>
        </w:rPr>
        <w:t>, 2010</w:t>
      </w:r>
      <w:r w:rsidR="00A76934" w:rsidRPr="00152BB1">
        <w:rPr>
          <w:sz w:val="24"/>
          <w:szCs w:val="24"/>
        </w:rPr>
        <w:t xml:space="preserve"> and 201</w:t>
      </w:r>
      <w:r>
        <w:rPr>
          <w:sz w:val="24"/>
          <w:szCs w:val="24"/>
        </w:rPr>
        <w:t>1</w:t>
      </w:r>
      <w:r w:rsidR="003049A7" w:rsidRPr="00152BB1">
        <w:rPr>
          <w:sz w:val="24"/>
          <w:szCs w:val="24"/>
        </w:rPr>
        <w:t xml:space="preserve">. </w:t>
      </w:r>
      <w:r w:rsidR="00A76934" w:rsidRPr="00152BB1">
        <w:rPr>
          <w:sz w:val="24"/>
          <w:szCs w:val="24"/>
        </w:rPr>
        <w:t>For individuals served in integrated employment, the percentages are as follows: 21% in 2004, 20.</w:t>
      </w:r>
      <w:r>
        <w:rPr>
          <w:sz w:val="24"/>
          <w:szCs w:val="24"/>
        </w:rPr>
        <w:t>5</w:t>
      </w:r>
      <w:r w:rsidR="00A76934" w:rsidRPr="00152BB1">
        <w:rPr>
          <w:sz w:val="24"/>
          <w:szCs w:val="24"/>
        </w:rPr>
        <w:t>% in 2007,</w:t>
      </w:r>
      <w:r w:rsidR="005B0D3B" w:rsidRPr="00152BB1">
        <w:rPr>
          <w:sz w:val="24"/>
          <w:szCs w:val="24"/>
        </w:rPr>
        <w:t xml:space="preserve"> </w:t>
      </w:r>
      <w:r>
        <w:rPr>
          <w:sz w:val="24"/>
          <w:szCs w:val="24"/>
        </w:rPr>
        <w:t>20</w:t>
      </w:r>
      <w:r w:rsidR="00A76934" w:rsidRPr="00152BB1">
        <w:rPr>
          <w:sz w:val="24"/>
          <w:szCs w:val="24"/>
        </w:rPr>
        <w:t>% in 2009</w:t>
      </w:r>
      <w:r>
        <w:rPr>
          <w:sz w:val="24"/>
          <w:szCs w:val="24"/>
        </w:rPr>
        <w:t>,</w:t>
      </w:r>
      <w:r w:rsidR="00A76934" w:rsidRPr="00152BB1">
        <w:rPr>
          <w:sz w:val="24"/>
          <w:szCs w:val="24"/>
        </w:rPr>
        <w:t xml:space="preserve"> </w:t>
      </w:r>
      <w:r>
        <w:rPr>
          <w:sz w:val="24"/>
          <w:szCs w:val="24"/>
        </w:rPr>
        <w:t>19</w:t>
      </w:r>
      <w:r w:rsidR="00A76934" w:rsidRPr="00152BB1">
        <w:rPr>
          <w:sz w:val="24"/>
          <w:szCs w:val="24"/>
        </w:rPr>
        <w:t>.1% in 2010</w:t>
      </w:r>
      <w:r>
        <w:rPr>
          <w:sz w:val="24"/>
          <w:szCs w:val="24"/>
        </w:rPr>
        <w:t>, and 19.3% in 2011</w:t>
      </w:r>
      <w:r w:rsidR="00A76934" w:rsidRPr="00152BB1">
        <w:rPr>
          <w:sz w:val="24"/>
          <w:szCs w:val="24"/>
        </w:rPr>
        <w:t xml:space="preserve">.  </w:t>
      </w:r>
      <w:r w:rsidR="00004A45">
        <w:rPr>
          <w:sz w:val="24"/>
          <w:szCs w:val="24"/>
        </w:rPr>
        <w:t xml:space="preserve">For individuals </w:t>
      </w:r>
      <w:r w:rsidR="005B0D3B" w:rsidRPr="00152BB1">
        <w:rPr>
          <w:sz w:val="24"/>
          <w:szCs w:val="24"/>
        </w:rPr>
        <w:t xml:space="preserve">served in facility-based and non-work services, the percentages for the years displayed on the </w:t>
      </w:r>
      <w:r w:rsidR="004D4FD1">
        <w:rPr>
          <w:sz w:val="24"/>
          <w:szCs w:val="24"/>
        </w:rPr>
        <w:t>chart</w:t>
      </w:r>
      <w:r w:rsidR="004D4FD1" w:rsidRPr="00152BB1">
        <w:rPr>
          <w:sz w:val="24"/>
          <w:szCs w:val="24"/>
        </w:rPr>
        <w:t xml:space="preserve"> </w:t>
      </w:r>
      <w:r>
        <w:rPr>
          <w:sz w:val="24"/>
          <w:szCs w:val="24"/>
        </w:rPr>
        <w:t>are as follows: 7</w:t>
      </w:r>
      <w:r w:rsidR="005B0D3B" w:rsidRPr="00152BB1">
        <w:rPr>
          <w:sz w:val="24"/>
          <w:szCs w:val="24"/>
        </w:rPr>
        <w:t>9% in 2004, 79.</w:t>
      </w:r>
      <w:r>
        <w:rPr>
          <w:sz w:val="24"/>
          <w:szCs w:val="24"/>
        </w:rPr>
        <w:t>5</w:t>
      </w:r>
      <w:r w:rsidR="005B0D3B" w:rsidRPr="00152BB1">
        <w:rPr>
          <w:sz w:val="24"/>
          <w:szCs w:val="24"/>
        </w:rPr>
        <w:t xml:space="preserve">% in 2007, 80% in 2009, </w:t>
      </w:r>
      <w:r>
        <w:rPr>
          <w:sz w:val="24"/>
          <w:szCs w:val="24"/>
        </w:rPr>
        <w:t>80.9</w:t>
      </w:r>
      <w:r w:rsidR="005B0D3B" w:rsidRPr="00152BB1">
        <w:rPr>
          <w:sz w:val="24"/>
          <w:szCs w:val="24"/>
        </w:rPr>
        <w:t>% in 2010</w:t>
      </w:r>
      <w:r>
        <w:rPr>
          <w:sz w:val="24"/>
          <w:szCs w:val="24"/>
        </w:rPr>
        <w:t>, and 80.7% in 2011</w:t>
      </w:r>
      <w:r w:rsidR="005B0D3B" w:rsidRPr="00152BB1">
        <w:rPr>
          <w:sz w:val="24"/>
          <w:szCs w:val="24"/>
        </w:rPr>
        <w:t>.</w:t>
      </w:r>
    </w:p>
    <w:p w14:paraId="11B6903C" w14:textId="77777777" w:rsidR="00152BB1" w:rsidRPr="00152BB1" w:rsidRDefault="00152BB1" w:rsidP="00152BB1">
      <w:pPr>
        <w:pStyle w:val="NoSpacing"/>
        <w:rPr>
          <w:sz w:val="24"/>
          <w:szCs w:val="24"/>
        </w:rPr>
      </w:pPr>
    </w:p>
    <w:p w14:paraId="23C804A1" w14:textId="7D7A5D76" w:rsidR="005B0D3B" w:rsidRPr="00152BB1" w:rsidRDefault="00193335" w:rsidP="00152BB1">
      <w:pPr>
        <w:pStyle w:val="NoSpacing"/>
        <w:rPr>
          <w:b/>
          <w:sz w:val="24"/>
          <w:szCs w:val="24"/>
        </w:rPr>
      </w:pPr>
      <w:r>
        <w:rPr>
          <w:b/>
          <w:sz w:val="24"/>
          <w:szCs w:val="24"/>
        </w:rPr>
        <w:t>Figure 5</w:t>
      </w:r>
    </w:p>
    <w:p w14:paraId="4B664E50" w14:textId="28E8CC56" w:rsidR="005B0D3B" w:rsidRPr="00152BB1" w:rsidRDefault="005B0D3B" w:rsidP="00152BB1">
      <w:pPr>
        <w:pStyle w:val="NoSpacing"/>
        <w:rPr>
          <w:sz w:val="24"/>
          <w:szCs w:val="24"/>
        </w:rPr>
      </w:pPr>
      <w:r w:rsidRPr="00152BB1">
        <w:rPr>
          <w:sz w:val="24"/>
          <w:szCs w:val="24"/>
        </w:rPr>
        <w:t xml:space="preserve">Figure </w:t>
      </w:r>
      <w:r w:rsidR="00193335">
        <w:rPr>
          <w:sz w:val="24"/>
          <w:szCs w:val="24"/>
        </w:rPr>
        <w:t>5</w:t>
      </w:r>
      <w:r w:rsidRPr="00152BB1">
        <w:rPr>
          <w:sz w:val="24"/>
          <w:szCs w:val="24"/>
        </w:rPr>
        <w:t xml:space="preserve"> is a </w:t>
      </w:r>
      <w:r w:rsidR="004D4FD1">
        <w:rPr>
          <w:sz w:val="24"/>
          <w:szCs w:val="24"/>
        </w:rPr>
        <w:t>bar chart</w:t>
      </w:r>
      <w:r w:rsidRPr="00152BB1">
        <w:rPr>
          <w:sz w:val="24"/>
          <w:szCs w:val="24"/>
        </w:rPr>
        <w:t xml:space="preserve"> that displays percentage of total funding allocation by service setting for states that reported monetary figures</w:t>
      </w:r>
      <w:r w:rsidR="00967AE1" w:rsidRPr="00152BB1">
        <w:rPr>
          <w:sz w:val="24"/>
          <w:szCs w:val="24"/>
        </w:rPr>
        <w:t xml:space="preserve"> </w:t>
      </w:r>
      <w:r w:rsidR="00D10BF4">
        <w:rPr>
          <w:sz w:val="24"/>
          <w:szCs w:val="24"/>
        </w:rPr>
        <w:t xml:space="preserve">for </w:t>
      </w:r>
      <w:r w:rsidR="00D10BF4" w:rsidRPr="00152BB1">
        <w:rPr>
          <w:sz w:val="24"/>
          <w:szCs w:val="24"/>
        </w:rPr>
        <w:t>FY</w:t>
      </w:r>
      <w:r w:rsidR="00D10BF4">
        <w:rPr>
          <w:sz w:val="24"/>
          <w:szCs w:val="24"/>
        </w:rPr>
        <w:t xml:space="preserve">s 2001, </w:t>
      </w:r>
      <w:r w:rsidR="00D10BF4" w:rsidRPr="00152BB1">
        <w:rPr>
          <w:sz w:val="24"/>
          <w:szCs w:val="24"/>
        </w:rPr>
        <w:t>2004</w:t>
      </w:r>
      <w:r w:rsidR="00D10BF4">
        <w:rPr>
          <w:sz w:val="24"/>
          <w:szCs w:val="24"/>
        </w:rPr>
        <w:t>, 2007, 2009</w:t>
      </w:r>
      <w:r w:rsidR="00193335">
        <w:rPr>
          <w:sz w:val="24"/>
          <w:szCs w:val="24"/>
        </w:rPr>
        <w:t>, 2010</w:t>
      </w:r>
      <w:r w:rsidR="00D10BF4" w:rsidRPr="00152BB1">
        <w:rPr>
          <w:sz w:val="24"/>
          <w:szCs w:val="24"/>
        </w:rPr>
        <w:t xml:space="preserve"> and 201</w:t>
      </w:r>
      <w:r w:rsidR="00193335">
        <w:rPr>
          <w:sz w:val="24"/>
          <w:szCs w:val="24"/>
        </w:rPr>
        <w:t>1</w:t>
      </w:r>
      <w:r w:rsidRPr="00152BB1">
        <w:rPr>
          <w:sz w:val="24"/>
          <w:szCs w:val="24"/>
        </w:rPr>
        <w:t xml:space="preserve">. </w:t>
      </w:r>
      <w:r w:rsidR="00967AE1" w:rsidRPr="00152BB1">
        <w:rPr>
          <w:sz w:val="24"/>
          <w:szCs w:val="24"/>
        </w:rPr>
        <w:t xml:space="preserve">Funding allocation for all facility-based work and non-work services </w:t>
      </w:r>
      <w:r w:rsidR="000470DE" w:rsidRPr="00152BB1">
        <w:rPr>
          <w:sz w:val="24"/>
          <w:szCs w:val="24"/>
        </w:rPr>
        <w:t xml:space="preserve">and the number of states that </w:t>
      </w:r>
      <w:r w:rsidR="000470DE" w:rsidRPr="00152BB1">
        <w:rPr>
          <w:sz w:val="24"/>
          <w:szCs w:val="24"/>
        </w:rPr>
        <w:lastRenderedPageBreak/>
        <w:t>reported data (in parenthesis) for the fiscal years displayed on the chart are as follows:  81</w:t>
      </w:r>
      <w:r w:rsidR="00967AE1" w:rsidRPr="00152BB1">
        <w:rPr>
          <w:sz w:val="24"/>
          <w:szCs w:val="24"/>
        </w:rPr>
        <w:t>.9%</w:t>
      </w:r>
      <w:r w:rsidR="000470DE" w:rsidRPr="00152BB1">
        <w:rPr>
          <w:sz w:val="24"/>
          <w:szCs w:val="24"/>
        </w:rPr>
        <w:t xml:space="preserve"> (16) </w:t>
      </w:r>
      <w:r w:rsidR="00967AE1" w:rsidRPr="00152BB1">
        <w:rPr>
          <w:sz w:val="24"/>
          <w:szCs w:val="24"/>
        </w:rPr>
        <w:t>in 20</w:t>
      </w:r>
      <w:r w:rsidR="000470DE" w:rsidRPr="00152BB1">
        <w:rPr>
          <w:sz w:val="24"/>
          <w:szCs w:val="24"/>
        </w:rPr>
        <w:t>01, 89.4% (16) in 2004, 90.6% (18) in 2007, 84.8% (35) in 2009, 89% (</w:t>
      </w:r>
      <w:r w:rsidR="00193335">
        <w:rPr>
          <w:sz w:val="24"/>
          <w:szCs w:val="24"/>
        </w:rPr>
        <w:t>41</w:t>
      </w:r>
      <w:r w:rsidR="000470DE" w:rsidRPr="00152BB1">
        <w:rPr>
          <w:sz w:val="24"/>
          <w:szCs w:val="24"/>
        </w:rPr>
        <w:t>) in 2010</w:t>
      </w:r>
      <w:r w:rsidR="00193335">
        <w:rPr>
          <w:sz w:val="24"/>
          <w:szCs w:val="24"/>
        </w:rPr>
        <w:t>, and 88.5% (39) in 2011</w:t>
      </w:r>
      <w:r w:rsidR="0032305F" w:rsidRPr="00152BB1">
        <w:rPr>
          <w:sz w:val="24"/>
          <w:szCs w:val="24"/>
        </w:rPr>
        <w:t>. Funding allocation for integrated employment and the number of states that reported data (in parenthesis) displayed on the chart are as follows: 16.6% (27) in 2001, 12.7% (32) in 2004, 10.5% (</w:t>
      </w:r>
      <w:r w:rsidR="00193335">
        <w:rPr>
          <w:sz w:val="24"/>
          <w:szCs w:val="24"/>
        </w:rPr>
        <w:t xml:space="preserve">30) in 2007, 12% (35) in 2009, </w:t>
      </w:r>
      <w:r w:rsidR="0032305F" w:rsidRPr="00152BB1">
        <w:rPr>
          <w:sz w:val="24"/>
          <w:szCs w:val="24"/>
        </w:rPr>
        <w:t>1</w:t>
      </w:r>
      <w:r w:rsidR="00193335">
        <w:rPr>
          <w:sz w:val="24"/>
          <w:szCs w:val="24"/>
        </w:rPr>
        <w:t>1</w:t>
      </w:r>
      <w:r w:rsidR="0032305F" w:rsidRPr="00152BB1">
        <w:rPr>
          <w:sz w:val="24"/>
          <w:szCs w:val="24"/>
        </w:rPr>
        <w:t>% (</w:t>
      </w:r>
      <w:r w:rsidR="00193335">
        <w:rPr>
          <w:sz w:val="24"/>
          <w:szCs w:val="24"/>
        </w:rPr>
        <w:t>41</w:t>
      </w:r>
      <w:r w:rsidR="0032305F" w:rsidRPr="00152BB1">
        <w:rPr>
          <w:sz w:val="24"/>
          <w:szCs w:val="24"/>
        </w:rPr>
        <w:t>) in 2010</w:t>
      </w:r>
      <w:r w:rsidR="00193335">
        <w:rPr>
          <w:sz w:val="24"/>
          <w:szCs w:val="24"/>
        </w:rPr>
        <w:t>, and 11% (39) in 2011</w:t>
      </w:r>
      <w:r w:rsidR="0032305F" w:rsidRPr="00152BB1">
        <w:rPr>
          <w:sz w:val="24"/>
          <w:szCs w:val="24"/>
        </w:rPr>
        <w:t>.</w:t>
      </w:r>
    </w:p>
    <w:p w14:paraId="2ED73D76" w14:textId="77777777" w:rsidR="00152BB1" w:rsidRPr="00152BB1" w:rsidRDefault="00152BB1" w:rsidP="00152BB1">
      <w:pPr>
        <w:pStyle w:val="NoSpacing"/>
        <w:rPr>
          <w:sz w:val="24"/>
          <w:szCs w:val="24"/>
        </w:rPr>
      </w:pPr>
      <w:bookmarkStart w:id="0" w:name="_GoBack"/>
      <w:bookmarkEnd w:id="0"/>
    </w:p>
    <w:p w14:paraId="125DAF03" w14:textId="7551FE04" w:rsidR="000470DE" w:rsidRPr="00152BB1" w:rsidRDefault="00193335" w:rsidP="00152BB1">
      <w:pPr>
        <w:pStyle w:val="NoSpacing"/>
        <w:rPr>
          <w:b/>
          <w:sz w:val="24"/>
          <w:szCs w:val="24"/>
        </w:rPr>
      </w:pPr>
      <w:r>
        <w:rPr>
          <w:b/>
          <w:sz w:val="24"/>
          <w:szCs w:val="24"/>
        </w:rPr>
        <w:t>Figure 6</w:t>
      </w:r>
    </w:p>
    <w:p w14:paraId="2F0FC315" w14:textId="43717B30" w:rsidR="00967AE1" w:rsidRPr="00152BB1" w:rsidRDefault="00186BE3" w:rsidP="00152BB1">
      <w:pPr>
        <w:pStyle w:val="NoSpacing"/>
        <w:rPr>
          <w:sz w:val="24"/>
          <w:szCs w:val="24"/>
        </w:rPr>
      </w:pPr>
      <w:r w:rsidRPr="00BD1B80">
        <w:rPr>
          <w:sz w:val="24"/>
          <w:szCs w:val="24"/>
        </w:rPr>
        <w:t xml:space="preserve">Figure </w:t>
      </w:r>
      <w:r w:rsidR="00193335" w:rsidRPr="00BD1B80">
        <w:rPr>
          <w:sz w:val="24"/>
          <w:szCs w:val="24"/>
        </w:rPr>
        <w:t>6</w:t>
      </w:r>
      <w:r w:rsidRPr="00BD1B80">
        <w:rPr>
          <w:sz w:val="24"/>
          <w:szCs w:val="24"/>
        </w:rPr>
        <w:t xml:space="preserve"> </w:t>
      </w:r>
      <w:r w:rsidR="009C0484" w:rsidRPr="00BD1B80">
        <w:rPr>
          <w:sz w:val="24"/>
          <w:szCs w:val="24"/>
        </w:rPr>
        <w:t xml:space="preserve">is a line </w:t>
      </w:r>
      <w:r w:rsidR="00505AC5" w:rsidRPr="00BD1B80">
        <w:rPr>
          <w:sz w:val="24"/>
          <w:szCs w:val="24"/>
        </w:rPr>
        <w:t xml:space="preserve">graph </w:t>
      </w:r>
      <w:r w:rsidR="00D76DC9" w:rsidRPr="00BD1B80">
        <w:rPr>
          <w:sz w:val="24"/>
          <w:szCs w:val="24"/>
        </w:rPr>
        <w:t xml:space="preserve">that </w:t>
      </w:r>
      <w:r w:rsidRPr="00BD1B80">
        <w:rPr>
          <w:sz w:val="24"/>
          <w:szCs w:val="24"/>
        </w:rPr>
        <w:t>displays three trend lines</w:t>
      </w:r>
      <w:r w:rsidR="00F46AD7">
        <w:rPr>
          <w:sz w:val="24"/>
          <w:szCs w:val="24"/>
        </w:rPr>
        <w:t xml:space="preserve"> each of which displays weekly wages in 2011 dollars</w:t>
      </w:r>
      <w:r w:rsidRPr="00BD1B80">
        <w:rPr>
          <w:sz w:val="24"/>
          <w:szCs w:val="24"/>
        </w:rPr>
        <w:t xml:space="preserve">. One trend line represents the general population. </w:t>
      </w:r>
      <w:r w:rsidR="00152BB1" w:rsidRPr="00BD1B80">
        <w:rPr>
          <w:sz w:val="24"/>
          <w:szCs w:val="24"/>
        </w:rPr>
        <w:t>A</w:t>
      </w:r>
      <w:r w:rsidRPr="00BD1B80">
        <w:rPr>
          <w:sz w:val="24"/>
          <w:szCs w:val="24"/>
        </w:rPr>
        <w:t xml:space="preserve"> second trend line represents </w:t>
      </w:r>
      <w:r w:rsidR="009C0484" w:rsidRPr="00BD1B80">
        <w:rPr>
          <w:sz w:val="24"/>
          <w:szCs w:val="24"/>
        </w:rPr>
        <w:t>intellectual disability</w:t>
      </w:r>
      <w:r w:rsidR="00152BB1" w:rsidRPr="00BD1B80">
        <w:rPr>
          <w:sz w:val="24"/>
          <w:szCs w:val="24"/>
        </w:rPr>
        <w:t xml:space="preserve"> and a </w:t>
      </w:r>
      <w:r w:rsidRPr="00BD1B80">
        <w:rPr>
          <w:sz w:val="24"/>
          <w:szCs w:val="24"/>
        </w:rPr>
        <w:t xml:space="preserve">third line represents </w:t>
      </w:r>
      <w:r w:rsidR="005C0EDF" w:rsidRPr="00BD1B80">
        <w:rPr>
          <w:sz w:val="24"/>
          <w:szCs w:val="24"/>
        </w:rPr>
        <w:t>o</w:t>
      </w:r>
      <w:r w:rsidR="009C0484" w:rsidRPr="00BD1B80">
        <w:rPr>
          <w:sz w:val="24"/>
          <w:szCs w:val="24"/>
        </w:rPr>
        <w:t>ther disabilities</w:t>
      </w:r>
      <w:r w:rsidRPr="00BD1B80">
        <w:rPr>
          <w:sz w:val="24"/>
          <w:szCs w:val="24"/>
        </w:rPr>
        <w:t xml:space="preserve">. The timeline </w:t>
      </w:r>
      <w:r w:rsidR="00152BB1" w:rsidRPr="00BD1B80">
        <w:rPr>
          <w:sz w:val="24"/>
          <w:szCs w:val="24"/>
        </w:rPr>
        <w:t xml:space="preserve">for the trend lines </w:t>
      </w:r>
      <w:r w:rsidRPr="00BD1B80">
        <w:rPr>
          <w:sz w:val="24"/>
          <w:szCs w:val="24"/>
        </w:rPr>
        <w:t>span</w:t>
      </w:r>
      <w:r w:rsidR="00152BB1" w:rsidRPr="00BD1B80">
        <w:rPr>
          <w:sz w:val="24"/>
          <w:szCs w:val="24"/>
        </w:rPr>
        <w:t>s</w:t>
      </w:r>
      <w:r w:rsidR="00193335" w:rsidRPr="00BD1B80">
        <w:rPr>
          <w:sz w:val="24"/>
          <w:szCs w:val="24"/>
        </w:rPr>
        <w:t xml:space="preserve"> from 2002 to 2011</w:t>
      </w:r>
      <w:r w:rsidRPr="00BD1B80">
        <w:rPr>
          <w:sz w:val="24"/>
          <w:szCs w:val="24"/>
        </w:rPr>
        <w:t>. Holding steady, the intellectual disability trend line starts at $2</w:t>
      </w:r>
      <w:r w:rsidR="00193335" w:rsidRPr="00BD1B80">
        <w:rPr>
          <w:sz w:val="24"/>
          <w:szCs w:val="24"/>
        </w:rPr>
        <w:t>17</w:t>
      </w:r>
      <w:r w:rsidRPr="00BD1B80">
        <w:rPr>
          <w:sz w:val="24"/>
          <w:szCs w:val="24"/>
        </w:rPr>
        <w:t xml:space="preserve"> in 2002 and ends at $</w:t>
      </w:r>
      <w:r w:rsidR="00193335" w:rsidRPr="00BD1B80">
        <w:rPr>
          <w:sz w:val="24"/>
          <w:szCs w:val="24"/>
        </w:rPr>
        <w:t>197</w:t>
      </w:r>
      <w:r w:rsidRPr="00BD1B80">
        <w:rPr>
          <w:sz w:val="24"/>
          <w:szCs w:val="24"/>
        </w:rPr>
        <w:t xml:space="preserve"> in 201</w:t>
      </w:r>
      <w:r w:rsidR="00193335" w:rsidRPr="00BD1B80">
        <w:rPr>
          <w:sz w:val="24"/>
          <w:szCs w:val="24"/>
        </w:rPr>
        <w:t>1</w:t>
      </w:r>
      <w:r w:rsidRPr="00BD1B80">
        <w:rPr>
          <w:sz w:val="24"/>
          <w:szCs w:val="24"/>
        </w:rPr>
        <w:t>.</w:t>
      </w:r>
      <w:r w:rsidR="00152BB1" w:rsidRPr="00BD1B80">
        <w:rPr>
          <w:sz w:val="24"/>
          <w:szCs w:val="24"/>
        </w:rPr>
        <w:t xml:space="preserve"> The other disabilities trend line starts </w:t>
      </w:r>
      <w:r w:rsidR="00193335" w:rsidRPr="00BD1B80">
        <w:rPr>
          <w:sz w:val="24"/>
          <w:szCs w:val="24"/>
        </w:rPr>
        <w:t>at</w:t>
      </w:r>
      <w:r w:rsidR="0032305F" w:rsidRPr="00BD1B80">
        <w:rPr>
          <w:sz w:val="24"/>
          <w:szCs w:val="24"/>
        </w:rPr>
        <w:t xml:space="preserve"> $4</w:t>
      </w:r>
      <w:r w:rsidR="00193335" w:rsidRPr="00BD1B80">
        <w:rPr>
          <w:sz w:val="24"/>
          <w:szCs w:val="24"/>
        </w:rPr>
        <w:t>15</w:t>
      </w:r>
      <w:r w:rsidR="00152BB1" w:rsidRPr="00BD1B80">
        <w:rPr>
          <w:sz w:val="24"/>
          <w:szCs w:val="24"/>
        </w:rPr>
        <w:t xml:space="preserve"> in 2002</w:t>
      </w:r>
      <w:r w:rsidR="0032305F" w:rsidRPr="00BD1B80">
        <w:rPr>
          <w:sz w:val="24"/>
          <w:szCs w:val="24"/>
        </w:rPr>
        <w:t xml:space="preserve"> </w:t>
      </w:r>
      <w:r w:rsidR="00152BB1" w:rsidRPr="00BD1B80">
        <w:rPr>
          <w:sz w:val="24"/>
          <w:szCs w:val="24"/>
        </w:rPr>
        <w:t xml:space="preserve">and ends at </w:t>
      </w:r>
      <w:r w:rsidR="00193335" w:rsidRPr="00BD1B80">
        <w:rPr>
          <w:sz w:val="24"/>
          <w:szCs w:val="24"/>
        </w:rPr>
        <w:t>$380</w:t>
      </w:r>
      <w:r w:rsidR="00152BB1" w:rsidRPr="00BD1B80">
        <w:rPr>
          <w:sz w:val="24"/>
          <w:szCs w:val="24"/>
        </w:rPr>
        <w:t xml:space="preserve"> in 201</w:t>
      </w:r>
      <w:r w:rsidR="00193335" w:rsidRPr="00BD1B80">
        <w:rPr>
          <w:sz w:val="24"/>
          <w:szCs w:val="24"/>
        </w:rPr>
        <w:t>1.</w:t>
      </w:r>
      <w:r w:rsidR="00152BB1" w:rsidRPr="00BD1B80">
        <w:rPr>
          <w:sz w:val="24"/>
          <w:szCs w:val="24"/>
        </w:rPr>
        <w:t xml:space="preserve"> The</w:t>
      </w:r>
      <w:r w:rsidR="0032305F" w:rsidRPr="00BD1B80">
        <w:rPr>
          <w:sz w:val="24"/>
          <w:szCs w:val="24"/>
        </w:rPr>
        <w:t xml:space="preserve"> general population</w:t>
      </w:r>
      <w:r w:rsidR="00152BB1" w:rsidRPr="00BD1B80">
        <w:rPr>
          <w:sz w:val="24"/>
          <w:szCs w:val="24"/>
        </w:rPr>
        <w:t xml:space="preserve"> trend line </w:t>
      </w:r>
      <w:r w:rsidR="0032305F" w:rsidRPr="00BD1B80">
        <w:rPr>
          <w:sz w:val="24"/>
          <w:szCs w:val="24"/>
        </w:rPr>
        <w:t xml:space="preserve">figure </w:t>
      </w:r>
      <w:r w:rsidR="00152BB1" w:rsidRPr="00BD1B80">
        <w:rPr>
          <w:sz w:val="24"/>
          <w:szCs w:val="24"/>
        </w:rPr>
        <w:t xml:space="preserve">in 2002 starts at </w:t>
      </w:r>
      <w:r w:rsidR="0032305F" w:rsidRPr="00BD1B80">
        <w:rPr>
          <w:sz w:val="24"/>
          <w:szCs w:val="24"/>
        </w:rPr>
        <w:t>$</w:t>
      </w:r>
      <w:r w:rsidR="00193335" w:rsidRPr="00BD1B80">
        <w:rPr>
          <w:sz w:val="24"/>
          <w:szCs w:val="24"/>
        </w:rPr>
        <w:t>825</w:t>
      </w:r>
      <w:r w:rsidR="0032305F" w:rsidRPr="00BD1B80">
        <w:rPr>
          <w:sz w:val="24"/>
          <w:szCs w:val="24"/>
        </w:rPr>
        <w:t xml:space="preserve"> weekly</w:t>
      </w:r>
      <w:r w:rsidR="00152BB1" w:rsidRPr="00BD1B80">
        <w:rPr>
          <w:sz w:val="24"/>
          <w:szCs w:val="24"/>
        </w:rPr>
        <w:t xml:space="preserve"> and declines to $</w:t>
      </w:r>
      <w:r w:rsidR="00BD1B80" w:rsidRPr="00BD1B80">
        <w:rPr>
          <w:sz w:val="24"/>
          <w:szCs w:val="24"/>
        </w:rPr>
        <w:t>792 in 2011</w:t>
      </w:r>
      <w:r w:rsidR="0032305F" w:rsidRPr="00BD1B80">
        <w:rPr>
          <w:sz w:val="24"/>
          <w:szCs w:val="24"/>
        </w:rPr>
        <w:t>.</w:t>
      </w:r>
    </w:p>
    <w:p w14:paraId="7C6D37C0" w14:textId="77777777" w:rsidR="00304157" w:rsidRDefault="00304157" w:rsidP="00F80F84">
      <w:pPr>
        <w:pStyle w:val="NoSpacing"/>
        <w:rPr>
          <w:b/>
          <w:sz w:val="24"/>
          <w:szCs w:val="24"/>
        </w:rPr>
      </w:pPr>
    </w:p>
    <w:p w14:paraId="624AD4D5" w14:textId="2A5D4E73" w:rsidR="00152BB1" w:rsidRPr="00F80F84" w:rsidRDefault="00304157" w:rsidP="00F80F84">
      <w:pPr>
        <w:pStyle w:val="NoSpacing"/>
        <w:rPr>
          <w:b/>
          <w:sz w:val="24"/>
          <w:szCs w:val="24"/>
        </w:rPr>
      </w:pPr>
      <w:r>
        <w:rPr>
          <w:b/>
          <w:sz w:val="24"/>
          <w:szCs w:val="24"/>
        </w:rPr>
        <w:t>Figure 7</w:t>
      </w:r>
    </w:p>
    <w:p w14:paraId="63AF51E7" w14:textId="21BFE9DC" w:rsidR="00304157" w:rsidRPr="00FD4592" w:rsidRDefault="00FD4592" w:rsidP="00F80F84">
      <w:pPr>
        <w:pStyle w:val="NoSpacing"/>
        <w:rPr>
          <w:sz w:val="24"/>
          <w:szCs w:val="24"/>
        </w:rPr>
      </w:pPr>
      <w:r w:rsidRPr="00FD4592">
        <w:rPr>
          <w:sz w:val="24"/>
          <w:szCs w:val="24"/>
        </w:rPr>
        <w:t xml:space="preserve">Figure 7 </w:t>
      </w:r>
      <w:r w:rsidR="00F02BDD">
        <w:rPr>
          <w:sz w:val="24"/>
          <w:szCs w:val="24"/>
        </w:rPr>
        <w:t xml:space="preserve">is a series of 3 bar graphs displaying the percent change in employment rate by population subgroup. </w:t>
      </w:r>
      <w:r w:rsidR="003D6965">
        <w:rPr>
          <w:sz w:val="24"/>
          <w:szCs w:val="24"/>
        </w:rPr>
        <w:t>The first bar graph shows a % change from 2008 to 2009 for 4 subgroups</w:t>
      </w:r>
      <w:r w:rsidR="006035AE">
        <w:rPr>
          <w:sz w:val="24"/>
          <w:szCs w:val="24"/>
        </w:rPr>
        <w:t xml:space="preserve"> and the percent change (in parentheses)</w:t>
      </w:r>
      <w:r w:rsidR="003D6965">
        <w:rPr>
          <w:sz w:val="24"/>
          <w:szCs w:val="24"/>
        </w:rPr>
        <w:t>:</w:t>
      </w:r>
      <w:r w:rsidR="006035AE">
        <w:rPr>
          <w:sz w:val="24"/>
          <w:szCs w:val="24"/>
        </w:rPr>
        <w:t xml:space="preserve"> No disability (-4.4%), All disabilities (-9.4%), Cognitive disability (-12.5%), and Cognitive disability and receives SSI (-15.1%).</w:t>
      </w:r>
    </w:p>
    <w:p w14:paraId="0500CE98" w14:textId="77777777" w:rsidR="00304157" w:rsidRDefault="00304157" w:rsidP="00F80F84">
      <w:pPr>
        <w:pStyle w:val="NoSpacing"/>
        <w:rPr>
          <w:b/>
          <w:sz w:val="24"/>
          <w:szCs w:val="24"/>
        </w:rPr>
      </w:pPr>
    </w:p>
    <w:p w14:paraId="5E7A40D4" w14:textId="09D268AF" w:rsidR="006035AE" w:rsidRPr="00FD4592" w:rsidRDefault="006035AE" w:rsidP="006035AE">
      <w:pPr>
        <w:pStyle w:val="NoSpacing"/>
        <w:rPr>
          <w:sz w:val="24"/>
          <w:szCs w:val="24"/>
        </w:rPr>
      </w:pPr>
      <w:r>
        <w:rPr>
          <w:sz w:val="24"/>
          <w:szCs w:val="24"/>
        </w:rPr>
        <w:t>The second bar graph shows a % change from 2009 to 2010 for the same 4 subgroups and the percent change (in parentheses): No disability (-2.2%), All disabilities (-5.7%), Cognitive disability (-4.6%), and Cognitive disability and receives SSI (-7.8%).</w:t>
      </w:r>
    </w:p>
    <w:p w14:paraId="38C45193" w14:textId="77777777" w:rsidR="006035AE" w:rsidRDefault="006035AE" w:rsidP="00F80F84">
      <w:pPr>
        <w:pStyle w:val="NoSpacing"/>
        <w:rPr>
          <w:b/>
          <w:sz w:val="24"/>
          <w:szCs w:val="24"/>
        </w:rPr>
      </w:pPr>
    </w:p>
    <w:p w14:paraId="52A76DB3" w14:textId="26582B4F" w:rsidR="006035AE" w:rsidRPr="00FD4592" w:rsidRDefault="006035AE" w:rsidP="006035AE">
      <w:pPr>
        <w:pStyle w:val="NoSpacing"/>
        <w:rPr>
          <w:sz w:val="24"/>
          <w:szCs w:val="24"/>
        </w:rPr>
      </w:pPr>
      <w:r>
        <w:rPr>
          <w:sz w:val="24"/>
          <w:szCs w:val="24"/>
        </w:rPr>
        <w:t>The third bar graph shows a % change from 2010 to 2011 for the same 4 subgroups and the percent change (in parentheses): No disability (.03%), All disabilities (-1.5%), Cognitive disability (-2.6%), and Cognitive disability and receives SSI (-3.6%).</w:t>
      </w:r>
    </w:p>
    <w:p w14:paraId="62A7990D" w14:textId="77777777" w:rsidR="006035AE" w:rsidRDefault="006035AE" w:rsidP="00F80F84">
      <w:pPr>
        <w:pStyle w:val="NoSpacing"/>
        <w:rPr>
          <w:b/>
          <w:sz w:val="24"/>
          <w:szCs w:val="24"/>
        </w:rPr>
      </w:pPr>
    </w:p>
    <w:p w14:paraId="577A6D82" w14:textId="43A3C299" w:rsidR="00F80F84" w:rsidRPr="00F80F84" w:rsidRDefault="00304157" w:rsidP="00F80F84">
      <w:pPr>
        <w:pStyle w:val="NoSpacing"/>
        <w:rPr>
          <w:b/>
          <w:sz w:val="24"/>
          <w:szCs w:val="24"/>
        </w:rPr>
      </w:pPr>
      <w:r>
        <w:rPr>
          <w:b/>
          <w:sz w:val="24"/>
          <w:szCs w:val="24"/>
        </w:rPr>
        <w:t>Figure 8</w:t>
      </w:r>
    </w:p>
    <w:p w14:paraId="030BB07D" w14:textId="509D43F5" w:rsidR="001E76C7" w:rsidRPr="00F80F84" w:rsidRDefault="006035AE" w:rsidP="001E76C7">
      <w:pPr>
        <w:pStyle w:val="NoSpacing"/>
        <w:rPr>
          <w:sz w:val="24"/>
          <w:szCs w:val="24"/>
        </w:rPr>
      </w:pPr>
      <w:r>
        <w:rPr>
          <w:sz w:val="24"/>
          <w:szCs w:val="24"/>
        </w:rPr>
        <w:t xml:space="preserve">Figure 8 </w:t>
      </w:r>
      <w:r w:rsidR="009F565B">
        <w:rPr>
          <w:sz w:val="24"/>
          <w:szCs w:val="24"/>
        </w:rPr>
        <w:t xml:space="preserve">is a bar chart that displays percentage of SSI recipients who work by age in 2011. The first bar is the </w:t>
      </w:r>
      <w:proofErr w:type="gramStart"/>
      <w:r w:rsidR="009F565B">
        <w:rPr>
          <w:sz w:val="24"/>
          <w:szCs w:val="24"/>
        </w:rPr>
        <w:t>18-64 age</w:t>
      </w:r>
      <w:proofErr w:type="gramEnd"/>
      <w:r w:rsidR="009F565B">
        <w:rPr>
          <w:sz w:val="24"/>
          <w:szCs w:val="24"/>
        </w:rPr>
        <w:t xml:space="preserve"> range displaying 6.2% in a different color to distinguish it from the other bars. The </w:t>
      </w:r>
      <w:r w:rsidR="00FA3AFD">
        <w:rPr>
          <w:sz w:val="24"/>
          <w:szCs w:val="24"/>
        </w:rPr>
        <w:t xml:space="preserve">next </w:t>
      </w:r>
      <w:r w:rsidR="009F565B">
        <w:rPr>
          <w:sz w:val="24"/>
          <w:szCs w:val="24"/>
        </w:rPr>
        <w:t xml:space="preserve">7 bars </w:t>
      </w:r>
      <w:r w:rsidR="00FA3AFD">
        <w:rPr>
          <w:sz w:val="24"/>
          <w:szCs w:val="24"/>
        </w:rPr>
        <w:t>display the</w:t>
      </w:r>
      <w:r w:rsidR="009F565B">
        <w:rPr>
          <w:sz w:val="24"/>
          <w:szCs w:val="24"/>
        </w:rPr>
        <w:t xml:space="preserve"> </w:t>
      </w:r>
      <w:r w:rsidR="00FA3AFD">
        <w:rPr>
          <w:sz w:val="24"/>
          <w:szCs w:val="24"/>
        </w:rPr>
        <w:t>following age range and percentage information: for age range</w:t>
      </w:r>
      <w:r w:rsidR="009F565B">
        <w:rPr>
          <w:sz w:val="24"/>
          <w:szCs w:val="24"/>
        </w:rPr>
        <w:t xml:space="preserve"> 18-21 (8.2%), 22-25 (13.1%), 26-29 (12.5%), 30-39 (9%), 40-49 (5.3%), 50-59 (3.4%), and 60-64 (2.6%).</w:t>
      </w:r>
    </w:p>
    <w:sectPr w:rsidR="001E76C7" w:rsidRPr="00F80F84" w:rsidSect="00B200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65C1D" w14:textId="77777777" w:rsidR="009F565B" w:rsidRDefault="009F565B" w:rsidP="00BD1B80">
      <w:pPr>
        <w:spacing w:after="0" w:line="240" w:lineRule="auto"/>
      </w:pPr>
      <w:r>
        <w:separator/>
      </w:r>
    </w:p>
  </w:endnote>
  <w:endnote w:type="continuationSeparator" w:id="0">
    <w:p w14:paraId="6DC4D844" w14:textId="77777777" w:rsidR="009F565B" w:rsidRDefault="009F565B" w:rsidP="00BD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81B13" w14:textId="77777777" w:rsidR="009F565B" w:rsidRDefault="009F565B" w:rsidP="00BD1B80">
      <w:pPr>
        <w:spacing w:after="0" w:line="240" w:lineRule="auto"/>
      </w:pPr>
      <w:r>
        <w:separator/>
      </w:r>
    </w:p>
  </w:footnote>
  <w:footnote w:type="continuationSeparator" w:id="0">
    <w:p w14:paraId="777C5BFF" w14:textId="77777777" w:rsidR="009F565B" w:rsidRDefault="009F565B" w:rsidP="00BD1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52"/>
    <w:rsid w:val="00004A45"/>
    <w:rsid w:val="000470DE"/>
    <w:rsid w:val="00152BB1"/>
    <w:rsid w:val="00186BE3"/>
    <w:rsid w:val="00193335"/>
    <w:rsid w:val="001E76C7"/>
    <w:rsid w:val="00265ACD"/>
    <w:rsid w:val="002D1801"/>
    <w:rsid w:val="00301A0A"/>
    <w:rsid w:val="00304157"/>
    <w:rsid w:val="003049A7"/>
    <w:rsid w:val="0032305F"/>
    <w:rsid w:val="0033679B"/>
    <w:rsid w:val="003868B2"/>
    <w:rsid w:val="003D6965"/>
    <w:rsid w:val="003F60A9"/>
    <w:rsid w:val="00441F0A"/>
    <w:rsid w:val="004D4FD1"/>
    <w:rsid w:val="004F16DF"/>
    <w:rsid w:val="00505AC5"/>
    <w:rsid w:val="005252E5"/>
    <w:rsid w:val="00552152"/>
    <w:rsid w:val="005B08EF"/>
    <w:rsid w:val="005B0D3B"/>
    <w:rsid w:val="005C0EDF"/>
    <w:rsid w:val="006035AE"/>
    <w:rsid w:val="00631F6F"/>
    <w:rsid w:val="00645BFA"/>
    <w:rsid w:val="006862DD"/>
    <w:rsid w:val="007511B2"/>
    <w:rsid w:val="008D4D8B"/>
    <w:rsid w:val="00967AE1"/>
    <w:rsid w:val="009C0484"/>
    <w:rsid w:val="009F565B"/>
    <w:rsid w:val="00A76934"/>
    <w:rsid w:val="00A857DB"/>
    <w:rsid w:val="00AE2380"/>
    <w:rsid w:val="00B200C3"/>
    <w:rsid w:val="00BD1B80"/>
    <w:rsid w:val="00CF3BCB"/>
    <w:rsid w:val="00D10BF4"/>
    <w:rsid w:val="00D1742A"/>
    <w:rsid w:val="00D76DC9"/>
    <w:rsid w:val="00DB6BEA"/>
    <w:rsid w:val="00E0468F"/>
    <w:rsid w:val="00E57BAC"/>
    <w:rsid w:val="00EA2519"/>
    <w:rsid w:val="00EF6DEF"/>
    <w:rsid w:val="00F02BDD"/>
    <w:rsid w:val="00F27CF6"/>
    <w:rsid w:val="00F37B18"/>
    <w:rsid w:val="00F46AD7"/>
    <w:rsid w:val="00F80976"/>
    <w:rsid w:val="00F80F84"/>
    <w:rsid w:val="00FA3AFD"/>
    <w:rsid w:val="00FD4592"/>
    <w:rsid w:val="00FD7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ED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BB1"/>
    <w:pPr>
      <w:spacing w:after="0" w:line="240" w:lineRule="auto"/>
    </w:pPr>
  </w:style>
  <w:style w:type="paragraph" w:styleId="BalloonText">
    <w:name w:val="Balloon Text"/>
    <w:basedOn w:val="Normal"/>
    <w:link w:val="BalloonTextChar"/>
    <w:uiPriority w:val="99"/>
    <w:semiHidden/>
    <w:unhideWhenUsed/>
    <w:rsid w:val="006862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62DD"/>
    <w:rPr>
      <w:rFonts w:ascii="Lucida Grande" w:hAnsi="Lucida Grande"/>
      <w:sz w:val="18"/>
      <w:szCs w:val="18"/>
    </w:rPr>
  </w:style>
  <w:style w:type="paragraph" w:styleId="Header">
    <w:name w:val="header"/>
    <w:basedOn w:val="Normal"/>
    <w:link w:val="HeaderChar"/>
    <w:uiPriority w:val="99"/>
    <w:unhideWhenUsed/>
    <w:rsid w:val="00BD1B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1B80"/>
  </w:style>
  <w:style w:type="paragraph" w:styleId="Footer">
    <w:name w:val="footer"/>
    <w:basedOn w:val="Normal"/>
    <w:link w:val="FooterChar"/>
    <w:uiPriority w:val="99"/>
    <w:unhideWhenUsed/>
    <w:rsid w:val="00BD1B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1B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BB1"/>
    <w:pPr>
      <w:spacing w:after="0" w:line="240" w:lineRule="auto"/>
    </w:pPr>
  </w:style>
  <w:style w:type="paragraph" w:styleId="BalloonText">
    <w:name w:val="Balloon Text"/>
    <w:basedOn w:val="Normal"/>
    <w:link w:val="BalloonTextChar"/>
    <w:uiPriority w:val="99"/>
    <w:semiHidden/>
    <w:unhideWhenUsed/>
    <w:rsid w:val="006862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62DD"/>
    <w:rPr>
      <w:rFonts w:ascii="Lucida Grande" w:hAnsi="Lucida Grande"/>
      <w:sz w:val="18"/>
      <w:szCs w:val="18"/>
    </w:rPr>
  </w:style>
  <w:style w:type="paragraph" w:styleId="Header">
    <w:name w:val="header"/>
    <w:basedOn w:val="Normal"/>
    <w:link w:val="HeaderChar"/>
    <w:uiPriority w:val="99"/>
    <w:unhideWhenUsed/>
    <w:rsid w:val="00BD1B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1B80"/>
  </w:style>
  <w:style w:type="paragraph" w:styleId="Footer">
    <w:name w:val="footer"/>
    <w:basedOn w:val="Normal"/>
    <w:link w:val="FooterChar"/>
    <w:uiPriority w:val="99"/>
    <w:unhideWhenUsed/>
    <w:rsid w:val="00BD1B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1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819</Words>
  <Characters>4670</Characters>
  <Application>Microsoft Macintosh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Domin</dc:creator>
  <cp:keywords/>
  <dc:description/>
  <cp:lastModifiedBy>Daria Domin</cp:lastModifiedBy>
  <cp:revision>2</cp:revision>
  <dcterms:created xsi:type="dcterms:W3CDTF">2013-05-01T18:09:00Z</dcterms:created>
  <dcterms:modified xsi:type="dcterms:W3CDTF">2013-05-01T18:09:00Z</dcterms:modified>
</cp:coreProperties>
</file>