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ОТЧЕТ ПО ОСНОВАМ ДИСКРЕТНОЙ МАТИМАТИКИ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ЛАБАРАТОРНАЯ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Мохор Е.М.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Щепков К.А.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Янченко И.Д.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Гулякина Н.А.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Минск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Постановка задачи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Даны два множества, найти их объединение и пересечение.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Уточнение поставленной задачи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возможность ввода мощности множеств с клавиатуры пользователем;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Реализовать заполнение множеств перечислительным методом пользователем с клавиатуры;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Мощность мно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жества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0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Максимальная мощность множества </w:t>
      </w:r>
      <w:r>
        <w:rPr>
          <w:rFonts w:cs="Times New Roman" w:ascii="Times New Roman" w:hAnsi="Times New Roman"/>
          <w:sz w:val="28"/>
          <w:szCs w:val="28"/>
        </w:rPr>
        <w:t>25;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Предусмотреть возможность выбора желаемой операции.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cs="Times New Roman" w:ascii="Times New Roman" w:hAnsi="Times New Roman"/>
          <w:b/>
          <w:bCs/>
          <w:sz w:val="32"/>
          <w:szCs w:val="32"/>
        </w:rPr>
        <w:t>: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любой из объектов составляющих множество.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cs="Times New Roman" w:ascii="Times New Roman" w:hAnsi="Times New Roman"/>
          <w:sz w:val="28"/>
          <w:szCs w:val="28"/>
        </w:rPr>
        <w:t>k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}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Алгоритм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cs="Times New Roman" w:ascii="Times New Roman" w:hAnsi="Times New Roman"/>
          <w:i/>
          <w:iCs/>
          <w:sz w:val="32"/>
          <w:szCs w:val="32"/>
        </w:rPr>
        <w:t>:</w:t>
      </w:r>
    </w:p>
    <w:p>
      <w:pPr>
        <w:pStyle w:val="ListParagraph"/>
        <w:ind w:left="920" w:hanging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Пользователь вводит мощность множества А –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pwA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Пользователь вводит элементы множества А;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Пользователь вводит мощность множества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–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pwB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Пользователь вводит элементы множества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rPr>
          <w:i/>
          <w:i/>
          <w:iCs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Выбор операции (пересечение или объединение):</w:t>
      </w:r>
    </w:p>
    <w:p>
      <w:pPr>
        <w:pStyle w:val="ListParagraph"/>
        <w:ind w:left="920" w:hanging="0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Пользователь выбирает операцию: пересечение или объединение;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 пересечение, перейти к пункту 3; если пользователь выбрал операцию объединение, перейти к пункту 4.</w:t>
      </w:r>
    </w:p>
    <w:p>
      <w:pPr>
        <w:pStyle w:val="ListParagraph"/>
        <w:ind w:left="1420" w:hanging="0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Пересечение</w:t>
      </w:r>
      <w:r>
        <w:rPr>
          <w:rFonts w:cs="Times New Roman" w:ascii="Times New Roman" w:hAnsi="Times New Roman"/>
          <w:i/>
          <w:iCs/>
          <w:sz w:val="32"/>
          <w:szCs w:val="32"/>
        </w:rPr>
        <w:t>:</w:t>
      </w:r>
    </w:p>
    <w:p>
      <w:pPr>
        <w:pStyle w:val="ListParagrap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cs="Times New Roman" w:ascii="Times New Roman" w:hAnsi="Times New Roman"/>
          <w:sz w:val="28"/>
          <w:szCs w:val="28"/>
        </w:rPr>
        <w:t>X;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//у пустого множества мощность равна нулю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</w:rPr>
        <w:t>i = 1 (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множества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);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 = 1(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множества </w:t>
      </w:r>
      <w:r>
        <w:rPr>
          <w:rFonts w:cs="Times New Roman" w:ascii="Times New Roman" w:hAnsi="Times New Roman"/>
          <w:sz w:val="28"/>
          <w:szCs w:val="28"/>
          <w:lang w:val="en-US"/>
        </w:rPr>
        <w:t>X);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 = 1 (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множества </w:t>
      </w:r>
      <w:r>
        <w:rPr>
          <w:rFonts w:cs="Times New Roman" w:ascii="Times New Roman" w:hAnsi="Times New Roman"/>
          <w:sz w:val="28"/>
          <w:szCs w:val="28"/>
          <w:lang w:val="en-US"/>
        </w:rPr>
        <w:t>B);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элемент порядка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множестве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A равен элементу порядка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во множестве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, то перейти к пункту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11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6"/>
        </w:numPr>
        <w:rPr/>
      </w:pPr>
      <w:bookmarkStart w:id="0" w:name="__DdeLink__152_14437555134"/>
      <w:r>
        <w:rPr>
          <w:rFonts w:cs="Times New Roman" w:ascii="Times New Roman" w:hAnsi="Times New Roman"/>
          <w:sz w:val="28"/>
          <w:szCs w:val="28"/>
        </w:rPr>
        <w:t>j = j + 1</w:t>
      </w:r>
      <w:bookmarkEnd w:id="0"/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меньше или равно </w:t>
      </w:r>
      <w:r>
        <w:rPr>
          <w:rFonts w:cs="Times New Roman" w:ascii="Times New Roman" w:hAnsi="Times New Roman"/>
          <w:sz w:val="28"/>
          <w:szCs w:val="28"/>
        </w:rPr>
        <w:t>pw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переход к пункту 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Если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i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равно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pwA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j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больше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pwB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переход к пункту 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</w:t>
      </w:r>
      <w:bookmarkStart w:id="1" w:name="__DdeLink__152_144375551341"/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= i + 1</w:t>
      </w:r>
      <w:bookmarkEnd w:id="1"/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;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Переход к пункту 4;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Записать элемент порядка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множества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на место элемента порядка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во множестве </w:t>
      </w:r>
      <w:r>
        <w:rPr>
          <w:rFonts w:cs="Times New Roman" w:ascii="Times New Roman" w:hAnsi="Times New Roman"/>
          <w:sz w:val="28"/>
          <w:szCs w:val="28"/>
          <w:lang w:val="en-US"/>
        </w:rPr>
        <w:t>X;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n = n + 1;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меньше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pwA, </w:t>
      </w:r>
      <w:r>
        <w:rPr>
          <w:rFonts w:cs="Times New Roman" w:ascii="Times New Roman" w:hAnsi="Times New Roman"/>
          <w:sz w:val="28"/>
          <w:szCs w:val="28"/>
          <w:lang w:val="ru-RU"/>
        </w:rPr>
        <w:t>то перейти к пункту 9;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Вывод множества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X; </w:t>
      </w:r>
    </w:p>
    <w:p>
      <w:pPr>
        <w:pStyle w:val="ListParagraph"/>
        <w:ind w:left="920" w:hanging="0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Объединение</w:t>
      </w:r>
      <w:r>
        <w:rPr>
          <w:rFonts w:cs="Times New Roman" w:ascii="Times New Roman" w:hAnsi="Times New Roman"/>
          <w:i/>
          <w:iCs/>
          <w:sz w:val="32"/>
          <w:szCs w:val="32"/>
        </w:rPr>
        <w:t>:</w:t>
      </w:r>
    </w:p>
    <w:p>
      <w:pPr>
        <w:pStyle w:val="ListParagrap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cs="Times New Roman" w:ascii="Times New Roman" w:hAnsi="Times New Roman"/>
          <w:sz w:val="28"/>
          <w:szCs w:val="28"/>
        </w:rPr>
        <w:t>X;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//у пустого множества мощность равна нулю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множество 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i = 1 (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множества </w:t>
      </w:r>
      <w:r>
        <w:rPr>
          <w:rFonts w:cs="Times New Roman" w:ascii="Times New Roman" w:hAnsi="Times New Roman"/>
          <w:sz w:val="28"/>
          <w:szCs w:val="28"/>
        </w:rPr>
        <w:t>B);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j = 1 (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множества </w:t>
      </w:r>
      <w:r>
        <w:rPr>
          <w:rFonts w:cs="Times New Roman" w:ascii="Times New Roman" w:hAnsi="Times New Roman"/>
          <w:sz w:val="28"/>
          <w:szCs w:val="28"/>
        </w:rPr>
        <w:t>X);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элемент порядка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множестве 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равен элементу порядка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во множестве 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>, то перейти к пункту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9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_DdeLink__152_1443755513"/>
      <w:r>
        <w:rPr>
          <w:rFonts w:cs="Times New Roman" w:ascii="Times New Roman" w:hAnsi="Times New Roman"/>
          <w:sz w:val="28"/>
          <w:szCs w:val="28"/>
        </w:rPr>
        <w:t>j = j + 1</w:t>
      </w:r>
      <w:bookmarkEnd w:id="2"/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меньше или равно </w:t>
      </w:r>
      <w:r>
        <w:rPr>
          <w:rFonts w:cs="Times New Roman" w:ascii="Times New Roman" w:hAnsi="Times New Roman"/>
          <w:sz w:val="28"/>
          <w:szCs w:val="28"/>
        </w:rPr>
        <w:t>pw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переход к пункту 5;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Записать элемент  порядка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множества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B </w:t>
      </w:r>
      <w:r>
        <w:rPr>
          <w:rFonts w:cs="Times New Roman" w:ascii="Times New Roman" w:hAnsi="Times New Roman"/>
          <w:sz w:val="28"/>
          <w:szCs w:val="28"/>
          <w:lang w:val="ru-RU"/>
        </w:rPr>
        <w:t>на место элемента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j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во множестве  </w:t>
      </w:r>
      <w:r>
        <w:rPr>
          <w:rFonts w:cs="Times New Roman" w:ascii="Times New Roman" w:hAnsi="Times New Roman"/>
          <w:sz w:val="28"/>
          <w:szCs w:val="28"/>
          <w:lang w:val="en-US"/>
        </w:rPr>
        <w:t>X;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 = i + 1;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Переход к пункту </w:t>
      </w:r>
      <w:r>
        <w:rPr>
          <w:rFonts w:cs="Times New Roman" w:ascii="Times New Roman" w:hAnsi="Times New Roman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Вывод множества </w:t>
      </w:r>
      <w:r>
        <w:rPr>
          <w:rFonts w:cs="Times New Roman" w:ascii="Times New Roman" w:hAnsi="Times New Roman"/>
          <w:sz w:val="28"/>
          <w:szCs w:val="28"/>
          <w:lang w:val="en-US"/>
        </w:rPr>
        <w:t>X;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920" w:hanging="360"/>
      </w:pPr>
      <w:rPr>
        <w:sz w:val="32"/>
        <w:szCs w:val="32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640" w:hanging="360"/>
      </w:p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3080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8"/>
        <w:rFonts w:ascii="Times New Roman" w:hAnsi="Times New Roman"/>
        <w:color w:val="00000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sz w:val="32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640" w:hanging="360"/>
      </w:p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640" w:hanging="360"/>
      </w:p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36b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d2d5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B3C7F-49DC-4504-8860-D14897BF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LibreOffice/6.3.3.2$Windows_X86_64 LibreOffice_project/a64200df03143b798afd1ec74a12ab50359878ed</Application>
  <Pages>4</Pages>
  <Words>487</Words>
  <Characters>2673</Characters>
  <CharactersWithSpaces>3287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2020-03-09T18:34:00Z</dcterms:created>
  <dc:creator>comoediis</dc:creator>
  <dc:description/>
  <dc:language>en-US</dc:language>
  <cp:lastModifiedBy/>
  <dcterms:modified xsi:type="dcterms:W3CDTF">2020-03-11T16:03:30Z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