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2026年上半年套期保值披露复核</w:t>
      </w:r>
    </w:p>
    <w:p>
      <w:pPr>
        <w:jc w:val="center"/>
      </w:pPr>
      <w:r>
        <w:t>复核对象：广东海大集团股份有限公司合并披露 | 期间：2026-01-01 至 2026-06-30</w:t>
      </w:r>
    </w:p>
    <w:p>
      <w:pPr>
        <w:pStyle w:val="Heading1"/>
      </w:pPr>
      <w:r>
        <w:t>结论摘要</w:t>
      </w:r>
    </w:p>
    <w:p>
      <w:r>
        <w:t>半年报列示期货公司期末金额64,041.81万元（640,418,100元），占期末净资产2.70%；本期公允价值变动损益为-4,639.58万元，计入权益的累计公允价值变动为-10,718.22万元。合计行的本期损益-5,247.59万元、权益累计变动-10,381.95万元，分别等于期货公司与商业银行两行之和。报告另披露期现盈亏相抵后的实际损益合计2.9亿元，该数为披露结论，现有材料无逐笔数据支持重算。</w:t>
      </w:r>
    </w:p>
    <w:p>
      <w:pPr>
        <w:pStyle w:val="Heading1"/>
      </w:pPr>
      <w:r>
        <w:t>披露勾稽与口径</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75D5A"/>
          </w:tcPr>
          <w:p>
            <w:r>
              <w:rPr>
                <w:b/>
                <w:color w:val="FFFFFF"/>
              </w:rPr>
              <w:t>项目</w:t>
            </w:r>
          </w:p>
        </w:tc>
        <w:tc>
          <w:tcPr>
            <w:tcW w:type="dxa" w:w="2880"/>
            <w:shd w:fill="275D5A"/>
          </w:tcPr>
          <w:p>
            <w:r>
              <w:rPr>
                <w:b/>
                <w:color w:val="FFFFFF"/>
              </w:rPr>
              <w:t>披露值</w:t>
            </w:r>
          </w:p>
        </w:tc>
        <w:tc>
          <w:tcPr>
            <w:tcW w:type="dxa" w:w="2880"/>
            <w:shd w:fill="275D5A"/>
          </w:tcPr>
          <w:p>
            <w:r>
              <w:rPr>
                <w:b/>
                <w:color w:val="FFFFFF"/>
              </w:rPr>
              <w:t>复核意见</w:t>
            </w:r>
          </w:p>
        </w:tc>
      </w:tr>
      <w:tr>
        <w:tc>
          <w:tcPr>
            <w:tcW w:type="dxa" w:w="2880"/>
            <w:vAlign w:val="center"/>
          </w:tcPr>
          <w:p>
            <w:r>
              <w:t>期末衍生品金额</w:t>
            </w:r>
          </w:p>
        </w:tc>
        <w:tc>
          <w:tcPr>
            <w:tcW w:type="dxa" w:w="2880"/>
            <w:vAlign w:val="center"/>
          </w:tcPr>
          <w:p>
            <w:r>
              <w:t>64,041.81万元</w:t>
            </w:r>
          </w:p>
        </w:tc>
        <w:tc>
          <w:tcPr>
            <w:tcW w:type="dxa" w:w="2880"/>
            <w:vAlign w:val="center"/>
          </w:tcPr>
          <w:p>
            <w:r>
              <w:t>期末存量，不是期间成交流量</w:t>
            </w:r>
          </w:p>
        </w:tc>
      </w:tr>
      <w:tr>
        <w:tc>
          <w:tcPr>
            <w:tcW w:type="dxa" w:w="2880"/>
            <w:vAlign w:val="center"/>
          </w:tcPr>
          <w:p>
            <w:r>
              <w:t>期货公司本期公允价值变动</w:t>
            </w:r>
          </w:p>
        </w:tc>
        <w:tc>
          <w:tcPr>
            <w:tcW w:type="dxa" w:w="2880"/>
            <w:vAlign w:val="center"/>
          </w:tcPr>
          <w:p>
            <w:r>
              <w:t>-4,639.58万元</w:t>
            </w:r>
          </w:p>
        </w:tc>
        <w:tc>
          <w:tcPr>
            <w:tcW w:type="dxa" w:w="2880"/>
            <w:vAlign w:val="center"/>
          </w:tcPr>
          <w:p>
            <w:r>
              <w:t>期间损益</w:t>
            </w:r>
          </w:p>
        </w:tc>
      </w:tr>
      <w:tr>
        <w:tc>
          <w:tcPr>
            <w:tcW w:type="dxa" w:w="2880"/>
            <w:vAlign w:val="center"/>
          </w:tcPr>
          <w:p>
            <w:r>
              <w:t>期货公司计入权益累计变动</w:t>
            </w:r>
          </w:p>
        </w:tc>
        <w:tc>
          <w:tcPr>
            <w:tcW w:type="dxa" w:w="2880"/>
            <w:vAlign w:val="center"/>
          </w:tcPr>
          <w:p>
            <w:r>
              <w:t>-10,718.22万元</w:t>
            </w:r>
          </w:p>
        </w:tc>
        <w:tc>
          <w:tcPr>
            <w:tcW w:type="dxa" w:w="2880"/>
            <w:vAlign w:val="center"/>
          </w:tcPr>
          <w:p>
            <w:r>
              <w:t>累计权益变动，与本期损益口径不同</w:t>
            </w:r>
          </w:p>
        </w:tc>
      </w:tr>
      <w:tr>
        <w:tc>
          <w:tcPr>
            <w:tcW w:type="dxa" w:w="2880"/>
            <w:vAlign w:val="center"/>
          </w:tcPr>
          <w:p>
            <w:r>
              <w:t>合计本期公允价值变动</w:t>
            </w:r>
          </w:p>
        </w:tc>
        <w:tc>
          <w:tcPr>
            <w:tcW w:type="dxa" w:w="2880"/>
            <w:vAlign w:val="center"/>
          </w:tcPr>
          <w:p>
            <w:r>
              <w:t>-5,247.59万元</w:t>
            </w:r>
          </w:p>
        </w:tc>
        <w:tc>
          <w:tcPr>
            <w:tcW w:type="dxa" w:w="2880"/>
            <w:vAlign w:val="center"/>
          </w:tcPr>
          <w:p>
            <w:r>
              <w:t>-4,639.58 + -608.01 = -5,247.59万元</w:t>
            </w:r>
          </w:p>
        </w:tc>
      </w:tr>
      <w:tr>
        <w:tc>
          <w:tcPr>
            <w:tcW w:type="dxa" w:w="2880"/>
            <w:vAlign w:val="center"/>
          </w:tcPr>
          <w:p>
            <w:r>
              <w:t>合计计入权益累计变动</w:t>
            </w:r>
          </w:p>
        </w:tc>
        <w:tc>
          <w:tcPr>
            <w:tcW w:type="dxa" w:w="2880"/>
            <w:vAlign w:val="center"/>
          </w:tcPr>
          <w:p>
            <w:r>
              <w:t>-10,381.95万元</w:t>
            </w:r>
          </w:p>
        </w:tc>
        <w:tc>
          <w:tcPr>
            <w:tcW w:type="dxa" w:w="2880"/>
            <w:vAlign w:val="center"/>
          </w:tcPr>
          <w:p>
            <w:r>
              <w:t>-10,718.22 + 336.27 = -10,381.95万元</w:t>
            </w:r>
          </w:p>
        </w:tc>
      </w:tr>
      <w:tr>
        <w:tc>
          <w:tcPr>
            <w:tcW w:type="dxa" w:w="2880"/>
            <w:vAlign w:val="center"/>
          </w:tcPr>
          <w:p>
            <w:r>
              <w:t>期现相抵实际损益</w:t>
            </w:r>
          </w:p>
        </w:tc>
        <w:tc>
          <w:tcPr>
            <w:tcW w:type="dxa" w:w="2880"/>
            <w:vAlign w:val="center"/>
          </w:tcPr>
          <w:p>
            <w:r>
              <w:t>2.9亿元</w:t>
            </w:r>
          </w:p>
        </w:tc>
        <w:tc>
          <w:tcPr>
            <w:tcW w:type="dxa" w:w="2880"/>
            <w:vAlign w:val="center"/>
          </w:tcPr>
          <w:p>
            <w:r>
              <w:t>半年报披露值；不能由汇总衍生品表单独推算</w:t>
            </w:r>
          </w:p>
        </w:tc>
      </w:tr>
    </w:tbl>
    <w:p>
      <w:r>
        <w:t>来源：2026年半年度报告第24页“衍生品投资情况”表及“报告期实际损益情况的说明”。万元换算人民币元按×10,000。期末占比核对：64,041.81万元 / 披露2.70%约对应期末净资产，百分比经四舍五入。</w:t>
      </w:r>
    </w:p>
    <w:p>
      <w:pPr>
        <w:pStyle w:val="Heading1"/>
      </w:pPr>
      <w:r>
        <w:t>授权与政策</w:t>
      </w:r>
    </w:p>
    <w:p>
      <w:r>
        <w:t>2025-043股东会决议载明《关于开展套期保值业务的议案》于2025年8月14日通过；2025-041公告列示商品套保保证金最高40亿元、外汇套保最高占用47亿元，期限自股东会通过日起12个月滚动。故在期间层面，2025授权覆盖2026年上半年。2026年8月21日股东会通过的是后续授权，晚于本复核期间，不用于追溯判断。来源：2025-043公告第2页；2025-041公告第1-2页；2026-049决议公告及2026-045公告。</w:t>
      </w:r>
    </w:p>
    <w:p>
      <w:r>
        <w:t>《商品套期保值业务管理制度》第十三条规定方案止损目标不超过该方案交易金额10%，可将套期工具与被套期项目价值变动合并适用；第三十条规定已确认损益及浮动亏损达到最近一年经审计归母净利润10%且绝对金额超过1,000万元时及时披露，也可将套期工具与被套期项目价值变动合并适用。汇总披露不能证明具体方案的止损执行，也不足以独立判定阈值是否触发。</w:t>
      </w:r>
    </w:p>
    <w:p>
      <w:pPr>
        <w:pStyle w:val="Heading1"/>
      </w:pPr>
      <w:r>
        <w:t>证据边界与补件</w:t>
      </w:r>
    </w:p>
    <w:p>
      <w:pPr>
        <w:pStyle w:val="ListBullet"/>
      </w:pPr>
      <w:r>
        <w:t>未提供逐笔现货采购、销售、库存、定价日、数量与作价台账，无法复原逐日现货净敞口或独立重算2.9亿元。</w:t>
      </w:r>
    </w:p>
    <w:p>
      <w:pPr>
        <w:pStyle w:val="ListBullet"/>
      </w:pPr>
      <w:r>
        <w:t>衍生品成交、持仓、结算、保证金账户及适用交易所合约参数不完整，无法复算合约手数、保证金占用、交易额度使用或期末持仓。</w:t>
      </w:r>
    </w:p>
    <w:p>
      <w:pPr>
        <w:pStyle w:val="ListBullet"/>
      </w:pPr>
      <w:r>
        <w:t>未提供逐方案审批、套保指定关系、交易指令、日结算单、止损触发及例外审批记录，无法判断方案层面的止损合规与现货/衍生品匹配。</w:t>
      </w:r>
    </w:p>
    <w:p>
      <w:pPr>
        <w:pStyle w:val="ListBullet"/>
      </w:pPr>
      <w:r>
        <w:t>建议补取上述期间逐笔现货台账、完整衍生品交易和账户日快照、内部主体/套保指定映射及方案审批与止损档案后再完成交易级复核。</w:t>
      </w:r>
    </w:p>
    <w:p>
      <w:r>
        <w:t>另据2025-041公告第6节，商品交易账户由母公司统一管理，交易主体与各子公司现货主体未能一一对应；逐实体核对需依赖内部主体映射，不能仅以公开汇总表推定。</w:t>
      </w:r>
    </w:p>
    <w:sectPr w:rsidR="00FC693F" w:rsidRPr="0006063C" w:rsidSect="00034616">
      <w:pgSz w:w="12240" w:h="15840"/>
      <w:pgMar w:top="960" w:right="1800" w:bottom="9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