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现金流量列报收尾复核备忘录</w:t>
      </w:r>
    </w:p>
    <w:p>
      <w:r>
        <w:t>茂名石化实华股份有限公司（000637）｜公开材料复核｜金额：人民币元</w:t>
      </w:r>
    </w:p>
    <w:p>
      <w:pPr>
        <w:pStyle w:val="Heading2"/>
      </w:pPr>
      <w:r>
        <w:t>一、范围与证据边界</w:t>
      </w:r>
    </w:p>
    <w:p>
      <w:r>
        <w:t>本次仅检查输入文件 CN-1225248741_original.pdf，即2025年年度报告原件。范围为年报披露的2025年度及2024年度合并现金流量信息，引用均为PDF物理页。年报公开汇总数可用于列报复核和勾稽，不是项目原始试算平衡表、客户账簿或审计差异底稿。当前资料不支持形成审计调整分录、认定客户已入账、列示未更正错报余额或给出重大性结论。</w:t>
      </w:r>
    </w:p>
    <w:p>
      <w:pPr>
        <w:pStyle w:val="Heading2"/>
      </w:pPr>
      <w:r>
        <w:t>二、公开披露金额及复核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1944"/>
          </w:tcPr>
          <w:p>
            <w:r>
              <w:t>2025</w:t>
            </w:r>
          </w:p>
        </w:tc>
        <w:tc>
          <w:tcPr>
            <w:tcW w:type="dxa" w:w="1944"/>
          </w:tcPr>
          <w:p>
            <w:r>
              <w:t>2024</w:t>
            </w:r>
          </w:p>
        </w:tc>
        <w:tc>
          <w:tcPr>
            <w:tcW w:type="dxa" w:w="1224"/>
          </w:tcPr>
          <w:p>
            <w:r>
              <w:t>来源</w:t>
            </w:r>
          </w:p>
        </w:tc>
      </w:tr>
      <w:tr>
        <w:tc>
          <w:tcPr>
            <w:tcW w:type="dxa" w:w="4320"/>
            <w:vAlign w:val="top"/>
          </w:tcPr>
          <w:p>
            <w:r>
              <w:t>经营活动现金流入小计</w:t>
            </w:r>
          </w:p>
        </w:tc>
        <w:tc>
          <w:tcPr>
            <w:tcW w:type="dxa" w:w="1944"/>
            <w:vAlign w:val="top"/>
          </w:tcPr>
          <w:p>
            <w:r>
              <w:t>3,527,194,370.04</w:t>
            </w:r>
          </w:p>
        </w:tc>
        <w:tc>
          <w:tcPr>
            <w:tcW w:type="dxa" w:w="1944"/>
            <w:vAlign w:val="top"/>
          </w:tcPr>
          <w:p>
            <w:r>
              <w:t>4,134,489,117.69</w:t>
            </w:r>
          </w:p>
        </w:tc>
        <w:tc>
          <w:tcPr>
            <w:tcW w:type="dxa" w:w="1224"/>
            <w:vAlign w:val="top"/>
          </w:tcPr>
          <w:p>
            <w:r>
              <w:t>PDF第24页</w:t>
            </w:r>
          </w:p>
        </w:tc>
      </w:tr>
      <w:tr>
        <w:tc>
          <w:tcPr>
            <w:tcW w:type="dxa" w:w="4320"/>
            <w:vAlign w:val="top"/>
          </w:tcPr>
          <w:p>
            <w:r>
              <w:t>经营活动现金流出小计</w:t>
            </w:r>
          </w:p>
        </w:tc>
        <w:tc>
          <w:tcPr>
            <w:tcW w:type="dxa" w:w="1944"/>
            <w:vAlign w:val="top"/>
          </w:tcPr>
          <w:p>
            <w:r>
              <w:t>3,484,208,109.96</w:t>
            </w:r>
          </w:p>
        </w:tc>
        <w:tc>
          <w:tcPr>
            <w:tcW w:type="dxa" w:w="1944"/>
            <w:vAlign w:val="top"/>
          </w:tcPr>
          <w:p>
            <w:r>
              <w:t>4,125,411,208.51</w:t>
            </w:r>
          </w:p>
        </w:tc>
        <w:tc>
          <w:tcPr>
            <w:tcW w:type="dxa" w:w="1224"/>
            <w:vAlign w:val="top"/>
          </w:tcPr>
          <w:p>
            <w:r>
              <w:t>PDF第24页</w:t>
            </w:r>
          </w:p>
        </w:tc>
      </w:tr>
      <w:tr>
        <w:tc>
          <w:tcPr>
            <w:tcW w:type="dxa" w:w="4320"/>
            <w:vAlign w:val="top"/>
          </w:tcPr>
          <w:p>
            <w:r>
              <w:t>经营活动产生的现金流量净额</w:t>
            </w:r>
          </w:p>
        </w:tc>
        <w:tc>
          <w:tcPr>
            <w:tcW w:type="dxa" w:w="1944"/>
            <w:vAlign w:val="top"/>
          </w:tcPr>
          <w:p>
            <w:r>
              <w:t>42,986,260.08</w:t>
            </w:r>
          </w:p>
        </w:tc>
        <w:tc>
          <w:tcPr>
            <w:tcW w:type="dxa" w:w="1944"/>
            <w:vAlign w:val="top"/>
          </w:tcPr>
          <w:p>
            <w:r>
              <w:t>9,077,909.18</w:t>
            </w:r>
          </w:p>
        </w:tc>
        <w:tc>
          <w:tcPr>
            <w:tcW w:type="dxa" w:w="1224"/>
            <w:vAlign w:val="top"/>
          </w:tcPr>
          <w:p>
            <w:r>
              <w:t>PDF第24页</w:t>
            </w:r>
          </w:p>
        </w:tc>
      </w:tr>
      <w:tr>
        <w:tc>
          <w:tcPr>
            <w:tcW w:type="dxa" w:w="4320"/>
            <w:vAlign w:val="top"/>
          </w:tcPr>
          <w:p>
            <w:r>
              <w:t>筹资活动现金流入小计</w:t>
            </w:r>
          </w:p>
        </w:tc>
        <w:tc>
          <w:tcPr>
            <w:tcW w:type="dxa" w:w="1944"/>
            <w:vAlign w:val="top"/>
          </w:tcPr>
          <w:p>
            <w:r>
              <w:t>974,280,000.00</w:t>
            </w:r>
          </w:p>
        </w:tc>
        <w:tc>
          <w:tcPr>
            <w:tcW w:type="dxa" w:w="1944"/>
            <w:vAlign w:val="top"/>
          </w:tcPr>
          <w:p>
            <w:r>
              <w:t>914,000,000.00</w:t>
            </w:r>
          </w:p>
        </w:tc>
        <w:tc>
          <w:tcPr>
            <w:tcW w:type="dxa" w:w="1224"/>
            <w:vAlign w:val="top"/>
          </w:tcPr>
          <w:p>
            <w:r>
              <w:t>PDF第24页</w:t>
            </w:r>
          </w:p>
        </w:tc>
      </w:tr>
      <w:tr>
        <w:tc>
          <w:tcPr>
            <w:tcW w:type="dxa" w:w="4320"/>
            <w:vAlign w:val="top"/>
          </w:tcPr>
          <w:p>
            <w:r>
              <w:t>筹资活动现金流出小计</w:t>
            </w:r>
          </w:p>
        </w:tc>
        <w:tc>
          <w:tcPr>
            <w:tcW w:type="dxa" w:w="1944"/>
            <w:vAlign w:val="top"/>
          </w:tcPr>
          <w:p>
            <w:r>
              <w:t>1,100,823,838.67</w:t>
            </w:r>
          </w:p>
        </w:tc>
        <w:tc>
          <w:tcPr>
            <w:tcW w:type="dxa" w:w="1944"/>
            <w:vAlign w:val="top"/>
          </w:tcPr>
          <w:p>
            <w:r>
              <w:t>942,903,026.96</w:t>
            </w:r>
          </w:p>
        </w:tc>
        <w:tc>
          <w:tcPr>
            <w:tcW w:type="dxa" w:w="1224"/>
            <w:vAlign w:val="top"/>
          </w:tcPr>
          <w:p>
            <w:r>
              <w:t>PDF第24页</w:t>
            </w:r>
          </w:p>
        </w:tc>
      </w:tr>
      <w:tr>
        <w:tc>
          <w:tcPr>
            <w:tcW w:type="dxa" w:w="4320"/>
            <w:vAlign w:val="top"/>
          </w:tcPr>
          <w:p>
            <w:r>
              <w:t>筹资活动产生的现金流量净额</w:t>
            </w:r>
          </w:p>
        </w:tc>
        <w:tc>
          <w:tcPr>
            <w:tcW w:type="dxa" w:w="1944"/>
            <w:vAlign w:val="top"/>
          </w:tcPr>
          <w:p>
            <w:r>
              <w:t>-126,543,838.67</w:t>
            </w:r>
          </w:p>
        </w:tc>
        <w:tc>
          <w:tcPr>
            <w:tcW w:type="dxa" w:w="1944"/>
            <w:vAlign w:val="top"/>
          </w:tcPr>
          <w:p>
            <w:r>
              <w:t>-28,903,026.96</w:t>
            </w:r>
          </w:p>
        </w:tc>
        <w:tc>
          <w:tcPr>
            <w:tcW w:type="dxa" w:w="1224"/>
            <w:vAlign w:val="top"/>
          </w:tcPr>
          <w:p>
            <w:r>
              <w:t>PDF第24页</w:t>
            </w:r>
          </w:p>
        </w:tc>
      </w:tr>
      <w:tr>
        <w:tc>
          <w:tcPr>
            <w:tcW w:type="dxa" w:w="4320"/>
            <w:vAlign w:val="top"/>
          </w:tcPr>
          <w:p>
            <w:r>
              <w:t>现金及现金等价物净增加额</w:t>
            </w:r>
          </w:p>
        </w:tc>
        <w:tc>
          <w:tcPr>
            <w:tcW w:type="dxa" w:w="1944"/>
            <w:vAlign w:val="top"/>
          </w:tcPr>
          <w:p>
            <w:r>
              <w:t>15,613,364.89</w:t>
            </w:r>
          </w:p>
        </w:tc>
        <w:tc>
          <w:tcPr>
            <w:tcW w:type="dxa" w:w="1944"/>
            <w:vAlign w:val="top"/>
          </w:tcPr>
          <w:p>
            <w:r>
              <w:t>62,431,552.47</w:t>
            </w:r>
          </w:p>
        </w:tc>
        <w:tc>
          <w:tcPr>
            <w:tcW w:type="dxa" w:w="1224"/>
            <w:vAlign w:val="top"/>
          </w:tcPr>
          <w:p>
            <w:r>
              <w:t>PDF第24页</w:t>
            </w:r>
          </w:p>
        </w:tc>
      </w:tr>
      <w:tr>
        <w:tc>
          <w:tcPr>
            <w:tcW w:type="dxa" w:w="4320"/>
            <w:vAlign w:val="top"/>
          </w:tcPr>
          <w:p>
            <w:r>
              <w:t>经营性应收项目的减少（增加以“－”号填列）</w:t>
            </w:r>
          </w:p>
        </w:tc>
        <w:tc>
          <w:tcPr>
            <w:tcW w:type="dxa" w:w="1944"/>
            <w:vAlign w:val="top"/>
          </w:tcPr>
          <w:p>
            <w:r>
              <w:t>33,779,318.53</w:t>
            </w:r>
          </w:p>
        </w:tc>
        <w:tc>
          <w:tcPr>
            <w:tcW w:type="dxa" w:w="1944"/>
            <w:vAlign w:val="top"/>
          </w:tcPr>
          <w:p>
            <w:r>
              <w:t>-30,000,712.68</w:t>
            </w:r>
          </w:p>
        </w:tc>
        <w:tc>
          <w:tcPr>
            <w:tcW w:type="dxa" w:w="1224"/>
            <w:vAlign w:val="top"/>
          </w:tcPr>
          <w:p>
            <w:r>
              <w:t>PDF第184页</w:t>
            </w:r>
          </w:p>
        </w:tc>
      </w:tr>
    </w:tbl>
    <w:p>
      <w:r>
        <w:t>经营活动净额勾稽（2025）：3,527,194,370.04 − 3,484,208,109.96 = 42,986,260.08，报告列示 42,986,260.08。算术差额为零；来源PDF第24页。</w:t>
      </w:r>
    </w:p>
    <w:p>
      <w:r>
        <w:t>现金净增加额勾稽（2025）：42,986,260.08 + 99,170,943.48 + -126,543,838.67 = 15,613,364.89，报告列示 15,613,364.89。汇率影响栏空白，按零仅作披露数字勾稽，范围限定于公开列报。</w:t>
      </w:r>
    </w:p>
    <w:p>
      <w:r>
        <w:t>经营活动净额勾稽（2024）：4,134,489,117.69 − 4,125,411,208.51 = 9,077,909.18，报告列示 9,077,909.18。算术差额为零；来源PDF第24页。</w:t>
      </w:r>
    </w:p>
    <w:p>
      <w:r>
        <w:t>现金净增加额勾稽（2024）：9,077,909.18 + 82,256,670.25 + -28,903,026.96 = 62,431,552.47，报告列示 62,431,552.47。汇率影响栏空白，按零仅作披露数字勾稽，范围限定于公开列报。</w:t>
      </w:r>
    </w:p>
    <w:p>
      <w:pPr>
        <w:pStyle w:val="Heading2"/>
      </w:pPr>
      <w:r>
        <w:t>三、限制与待核实事项</w:t>
      </w:r>
    </w:p>
    <w:p>
      <w:r>
        <w:t>公开年度报告只显示披露后的合并/母公司报表和附注。要汇总审计差异，尚需冻结版原始试算平衡、科目映射、现金流量表编制底稿、逐项差异记录及底层凭证；要确认客户是否过账，需取得批准凭证、过账后总账/试算平衡及客户确认；要评价未更正错报，需取得项目重要性、适用报告基础、完整错报汇总与以前期间滚存及管理层反馈。具体补件和受阻决策见 evidence_gaps.csv。</w:t>
      </w:r>
    </w:p>
    <w:p>
      <w:pPr>
        <w:pStyle w:val="Heading2"/>
      </w:pPr>
      <w:r>
        <w:t>四、建议后续程序（按顺序）</w:t>
      </w:r>
    </w:p>
    <w:p>
      <w:r>
        <w:t>1. 锁定报告签发前项目版本、主体范围和截止日，取得合并与母公司试算平衡及现金流量表编制底稿。</w:t>
      </w:r>
    </w:p>
    <w:p>
      <w:r>
        <w:t>2. 将披露差异逐项映射至总账科目、票据/银行凭证和会计处理依据，查明期间归属、列报分类及相关金融资产终止确认判断的证据链。</w:t>
      </w:r>
    </w:p>
    <w:p>
      <w:r>
        <w:t>3. 对拟议调整检查借贷平衡、科目映射、重复项目和跨期影响；用调整前余额重算调整后试算平衡。</w:t>
      </w:r>
    </w:p>
    <w:p>
      <w:r>
        <w:t>4. 逐项核对管理层接受/拒绝状态、过账凭证和更新后账簿；审计调整本身不作为客户入账证据。</w:t>
      </w:r>
    </w:p>
    <w:p>
      <w:r>
        <w:t>5. 取得已批准重要性及完整未更正错报表，分别和汇总评价金额、性质、环境与以前期间影响，并记录管理层/治理层沟通及报告结论。</w:t>
      </w:r>
    </w:p>
    <w:p>
      <w:r>
        <w:t>6. 只有完成上述核对后，才生成供客户更新账簿的调整及余额交接文件；当前资料下相关状态应保留为待补证。</w:t>
      </w:r>
    </w:p>
    <w:p>
      <w:r>
        <w:rPr>
          <w:sz w:val="16"/>
        </w:rPr>
        <w:t>口径说明：空白项目仅在本备忘录现金流净额勾稽中按未披露金额为零处理；此计算只用于公开报表展示金额的算术核对，不代表已核实现金流构成。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