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合同审查意见</w:t>
      </w:r>
    </w:p>
    <w:p>
      <w:r>
        <w:t>审查立场：本意见代表广州市人民政府办公厅，基于合同原件、采购需求和招标文件原始归档进行签署前复核。意见只处理材料能够证明的事项，不替业务部门补造中标价、乙方主体或谈判确认记录。</w:t>
      </w:r>
    </w:p>
    <w:p>
      <w:pPr>
        <w:pStyle w:val="Heading2"/>
      </w:pPr>
      <w:r>
        <w:t>一、已在修订稿处理的事项</w:t>
      </w:r>
    </w:p>
    <w:p>
      <w:pPr>
        <w:pStyle w:val="ListBullet"/>
      </w:pPr>
      <w:r>
        <w:t>项目编号由CZ2026-xxxx统一为CZ2026-0463。</w:t>
      </w:r>
    </w:p>
    <w:p>
      <w:pPr>
        <w:pStyle w:val="ListBullet"/>
      </w:pPr>
      <w:r>
        <w:t>付款条款由收到发票后10个工作日统一为5个工作日，并明确采购需求付款方式的优先适用；分期比例仍须结合中标结果核对。</w:t>
      </w:r>
    </w:p>
    <w:p>
      <w:pPr>
        <w:pStyle w:val="ListBullet"/>
      </w:pPr>
      <w:r>
        <w:t>删除与采购文件冲突的绝对禁止分包表述，改为遵守招标文件、采购需求的分包、中小企业份额和资质条件。</w:t>
      </w:r>
    </w:p>
    <w:p>
      <w:pPr>
        <w:pStyle w:val="ListBullet"/>
      </w:pPr>
      <w:r>
        <w:t>补入9个月初步验收及7日组织期限，保留12个月合同验收及10个工作日期限。</w:t>
      </w:r>
    </w:p>
    <w:p>
      <w:pPr>
        <w:pStyle w:val="ListBullet"/>
      </w:pPr>
      <w:r>
        <w:t>补足“七、考核与验收”章节编号，并更正“s维修”拼写。</w:t>
      </w:r>
    </w:p>
    <w:p>
      <w:pPr>
        <w:pStyle w:val="Heading2"/>
      </w:pPr>
      <w:r>
        <w:t>二、签署前待确认</w:t>
      </w:r>
    </w:p>
    <w:p>
      <w:pPr>
        <w:pStyle w:val="ListBullet"/>
      </w:pPr>
      <w:r>
        <w:t>中标总价、合同总额及大写金额；不得以预算金额直接替代中标价。</w:t>
      </w:r>
    </w:p>
    <w:p>
      <w:pPr>
        <w:pStyle w:val="ListBullet"/>
      </w:pPr>
      <w:r>
        <w:t>乙方名称、地址、法定代表人、授权签约代表、开户银行、账号和行号。</w:t>
      </w:r>
    </w:p>
    <w:p>
      <w:pPr>
        <w:pStyle w:val="ListBullet"/>
      </w:pPr>
      <w:r>
        <w:t>约30%/30%/20%/20%的四期进度款与约20%绩效考核款如何在合同金额中计算，及其与绩效等级的对应关系。</w:t>
      </w:r>
    </w:p>
    <w:p>
      <w:pPr>
        <w:pStyle w:val="ListBullet"/>
      </w:pPr>
      <w:r>
        <w:t>采购需求要求合同分包中中小企业达到40%，其中预留给小微企业不低于28%；该比例属于采购条件，签署前核对分包方案。</w:t>
      </w:r>
    </w:p>
    <w:p>
      <w:pPr>
        <w:pStyle w:val="ListBullet"/>
      </w:pPr>
      <w:r>
        <w:t>附件1绩效考核方案、附件2验收标准、附件3保密协议的最终版本和签署主体；项目团队保密协议应落实。</w:t>
      </w:r>
    </w:p>
    <w:p>
      <w:pPr>
        <w:pStyle w:val="ListBullet"/>
      </w:pPr>
      <w:r>
        <w:t>初步验收申请材料、监理单位参与方式，以及不合格整改10日的起算点。</w:t>
      </w:r>
    </w:p>
    <w:p>
      <w:pPr>
        <w:pStyle w:val="ListBullet"/>
      </w:pPr>
      <w:r>
        <w:t>履约保证金是否适用及其金额、提交期限和退还条件；现有合同正文未载明。</w:t>
      </w:r>
    </w:p>
    <w:p>
      <w:pPr>
        <w:pStyle w:val="Heading2"/>
      </w:pPr>
      <w:r>
        <w:t>三、立场与谈判建议</w:t>
      </w:r>
    </w:p>
    <w:p>
      <w:r>
        <w:t>采购文件明确的付款、验收和分包条件属于应保持一致的履约法律底线；合同中的主体和金额空白属于签署前事实核验事项。甲方逾期付款3‰/日且累计不超过合同总额5%、乙方违约金10%的不对称安排属于采购人现有风险分配，不因本轮校核而当然改成单向加重；是否调整应由业务部门结合采购文件和谈判记录作商业决定。</w:t>
      </w:r>
    </w:p>
    <w:p>
      <w:pPr>
        <w:pStyle w:val="Heading2"/>
      </w:pPr>
      <w:r>
        <w:t>四、材料依据</w:t>
      </w:r>
    </w:p>
    <w:p>
      <w:r>
        <w:t>合同原件第五章；采购需求P210、P258、P266、P270-P282；招标文件采购项目编号、预算金额、合同履行期限及合同分包要求。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