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DE7E9">
      <w:pPr>
        <w:pStyle w:val="14"/>
        <w:jc w:val="center"/>
        <w:outlineLvl w:val="1"/>
        <w:rPr>
          <w:rFonts w:hint="default"/>
        </w:rPr>
      </w:pPr>
      <w:r>
        <w:rPr>
          <w:b/>
          <w:sz w:val="36"/>
        </w:rPr>
        <w:t>第二章 采购需求</w:t>
      </w:r>
    </w:p>
    <w:p w14:paraId="0A7263D9">
      <w:pPr>
        <w:pStyle w:val="14"/>
        <w:outlineLvl w:val="2"/>
        <w:rPr>
          <w:rFonts w:hint="default"/>
        </w:rPr>
      </w:pPr>
      <w:r>
        <w:rPr>
          <w:b/>
          <w:sz w:val="28"/>
        </w:rPr>
        <w:t>一、项目概况：</w:t>
      </w:r>
    </w:p>
    <w:p w14:paraId="2388A19C">
      <w:pPr>
        <w:pStyle w:val="9"/>
        <w:rPr>
          <w:rFonts w:hint="eastAsia" w:ascii="仿宋" w:hAnsi="仿宋" w:eastAsia="仿宋" w:cs="宋体"/>
          <w:sz w:val="24"/>
        </w:rPr>
      </w:pPr>
      <w:r>
        <w:rPr>
          <w:rFonts w:hint="eastAsia" w:ascii="仿宋" w:hAnsi="仿宋" w:eastAsia="仿宋" w:cs="宋体"/>
          <w:sz w:val="24"/>
        </w:rPr>
        <w:t>项目类别：服务类</w:t>
      </w:r>
    </w:p>
    <w:p w14:paraId="3E3E7CE6">
      <w:pPr>
        <w:pStyle w:val="15"/>
        <w:spacing w:line="360" w:lineRule="auto"/>
        <w:rPr>
          <w:rStyle w:val="16"/>
          <w:rFonts w:hint="eastAsia" w:ascii="仿宋" w:hAnsi="仿宋" w:eastAsia="仿宋" w:cs="宋体"/>
          <w:b/>
          <w:bCs/>
          <w:sz w:val="24"/>
        </w:rPr>
      </w:pPr>
      <w:r>
        <w:rPr>
          <w:rStyle w:val="16"/>
          <w:rFonts w:hint="eastAsia" w:ascii="仿宋" w:hAnsi="仿宋" w:eastAsia="仿宋" w:cs="宋体"/>
          <w:b/>
          <w:bCs/>
          <w:sz w:val="24"/>
        </w:rPr>
        <w:t>注：以下内容如无特别说明，均适用于各部分内容。</w:t>
      </w:r>
    </w:p>
    <w:p w14:paraId="06E3C6B9">
      <w:pPr>
        <w:pStyle w:val="15"/>
        <w:spacing w:line="360" w:lineRule="auto"/>
        <w:rPr>
          <w:rStyle w:val="16"/>
          <w:rFonts w:hint="eastAsia" w:ascii="仿宋" w:hAnsi="仿宋" w:eastAsia="仿宋" w:cs="宋体"/>
          <w:b/>
          <w:bCs/>
          <w:sz w:val="24"/>
        </w:rPr>
      </w:pPr>
      <w:r>
        <w:rPr>
          <w:rStyle w:val="16"/>
          <w:rFonts w:hint="eastAsia" w:ascii="仿宋" w:hAnsi="仿宋" w:eastAsia="仿宋" w:cs="宋体"/>
          <w:b/>
          <w:bCs/>
          <w:sz w:val="24"/>
        </w:rPr>
        <w:t xml:space="preserve"> </w:t>
      </w:r>
    </w:p>
    <w:p w14:paraId="484B7529">
      <w:pPr>
        <w:pStyle w:val="17"/>
        <w:widowControl/>
        <w:adjustRightInd w:val="0"/>
        <w:spacing w:after="240" w:line="360" w:lineRule="auto"/>
        <w:jc w:val="left"/>
        <w:textAlignment w:val="baseline"/>
        <w:rPr>
          <w:rStyle w:val="16"/>
          <w:rFonts w:hint="eastAsia" w:ascii="仿宋" w:hAnsi="仿宋" w:eastAsia="仿宋" w:cs="宋体"/>
          <w:sz w:val="24"/>
        </w:rPr>
      </w:pPr>
      <w:r>
        <w:rPr>
          <w:rStyle w:val="16"/>
          <w:rFonts w:hint="eastAsia" w:ascii="仿宋" w:hAnsi="仿宋" w:eastAsia="仿宋" w:cs="宋体"/>
          <w:sz w:val="24"/>
        </w:rPr>
        <w:t>本项目内容：</w:t>
      </w:r>
    </w:p>
    <w:tbl>
      <w:tblPr>
        <w:tblStyle w:val="10"/>
        <w:tblW w:w="492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7"/>
        <w:gridCol w:w="3351"/>
        <w:gridCol w:w="4228"/>
      </w:tblGrid>
      <w:tr w14:paraId="2A225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481" w:type="pct"/>
            <w:tcBorders>
              <w:top w:val="single" w:color="000000" w:sz="4" w:space="0"/>
              <w:left w:val="single" w:color="000000" w:sz="4" w:space="0"/>
              <w:bottom w:val="single" w:color="000000" w:sz="4" w:space="0"/>
              <w:right w:val="single" w:color="000000" w:sz="4" w:space="0"/>
            </w:tcBorders>
            <w:noWrap/>
            <w:vAlign w:val="center"/>
          </w:tcPr>
          <w:p w14:paraId="0DBC3319">
            <w:pPr>
              <w:pStyle w:val="17"/>
              <w:spacing w:line="360" w:lineRule="auto"/>
              <w:jc w:val="center"/>
              <w:rPr>
                <w:rStyle w:val="16"/>
                <w:rFonts w:hint="eastAsia" w:ascii="仿宋" w:hAnsi="仿宋" w:eastAsia="仿宋" w:cs="宋体"/>
                <w:b/>
                <w:bCs/>
                <w:sz w:val="24"/>
              </w:rPr>
            </w:pPr>
            <w:r>
              <w:rPr>
                <w:rStyle w:val="16"/>
                <w:rFonts w:hint="eastAsia" w:ascii="仿宋" w:hAnsi="仿宋" w:eastAsia="仿宋" w:cs="宋体"/>
                <w:b/>
                <w:bCs/>
                <w:sz w:val="24"/>
              </w:rPr>
              <w:t>序号</w:t>
            </w:r>
          </w:p>
        </w:tc>
        <w:tc>
          <w:tcPr>
            <w:tcW w:w="1997" w:type="pct"/>
            <w:tcBorders>
              <w:top w:val="single" w:color="000000" w:sz="4" w:space="0"/>
              <w:left w:val="nil"/>
              <w:bottom w:val="single" w:color="000000" w:sz="4" w:space="0"/>
              <w:right w:val="single" w:color="000000" w:sz="4" w:space="0"/>
            </w:tcBorders>
            <w:noWrap/>
            <w:vAlign w:val="center"/>
          </w:tcPr>
          <w:p w14:paraId="2A9916E7">
            <w:pPr>
              <w:pStyle w:val="17"/>
              <w:spacing w:line="360" w:lineRule="auto"/>
              <w:jc w:val="center"/>
              <w:rPr>
                <w:rStyle w:val="16"/>
                <w:rFonts w:hint="eastAsia" w:ascii="仿宋" w:hAnsi="仿宋" w:eastAsia="仿宋" w:cs="宋体"/>
                <w:b/>
                <w:bCs/>
                <w:sz w:val="24"/>
              </w:rPr>
            </w:pPr>
            <w:r>
              <w:rPr>
                <w:rStyle w:val="16"/>
                <w:rFonts w:hint="eastAsia" w:ascii="仿宋" w:hAnsi="仿宋" w:eastAsia="仿宋" w:cs="宋体"/>
                <w:b/>
                <w:bCs/>
                <w:sz w:val="24"/>
              </w:rPr>
              <w:t>采购内容</w:t>
            </w:r>
          </w:p>
        </w:tc>
        <w:tc>
          <w:tcPr>
            <w:tcW w:w="2520" w:type="pct"/>
            <w:tcBorders>
              <w:top w:val="single" w:color="000000" w:sz="4" w:space="0"/>
              <w:left w:val="nil"/>
              <w:bottom w:val="single" w:color="000000" w:sz="4" w:space="0"/>
              <w:right w:val="single" w:color="000000" w:sz="4" w:space="0"/>
            </w:tcBorders>
            <w:noWrap/>
            <w:vAlign w:val="center"/>
          </w:tcPr>
          <w:p w14:paraId="0B2CFC35">
            <w:pPr>
              <w:pStyle w:val="17"/>
              <w:spacing w:line="360" w:lineRule="auto"/>
              <w:jc w:val="center"/>
              <w:rPr>
                <w:rStyle w:val="16"/>
                <w:rFonts w:hint="eastAsia" w:ascii="仿宋" w:hAnsi="仿宋" w:eastAsia="仿宋" w:cs="宋体"/>
                <w:b/>
                <w:bCs/>
                <w:sz w:val="24"/>
              </w:rPr>
            </w:pPr>
            <w:r>
              <w:rPr>
                <w:rStyle w:val="16"/>
                <w:rFonts w:hint="eastAsia" w:ascii="仿宋" w:hAnsi="仿宋" w:eastAsia="仿宋" w:cs="宋体"/>
                <w:b/>
                <w:bCs/>
                <w:sz w:val="24"/>
              </w:rPr>
              <w:t>最高限价</w:t>
            </w:r>
          </w:p>
        </w:tc>
      </w:tr>
      <w:tr w14:paraId="04BB7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481" w:type="pct"/>
            <w:tcBorders>
              <w:top w:val="single" w:color="000000" w:sz="4" w:space="0"/>
              <w:left w:val="single" w:color="000000" w:sz="4" w:space="0"/>
              <w:bottom w:val="single" w:color="000000" w:sz="4" w:space="0"/>
              <w:right w:val="single" w:color="000000" w:sz="4" w:space="0"/>
            </w:tcBorders>
            <w:noWrap/>
            <w:vAlign w:val="center"/>
          </w:tcPr>
          <w:p w14:paraId="53843125">
            <w:pPr>
              <w:pStyle w:val="17"/>
              <w:widowControl/>
              <w:adjustRightInd w:val="0"/>
              <w:spacing w:line="360" w:lineRule="auto"/>
              <w:jc w:val="center"/>
              <w:textAlignment w:val="baseline"/>
              <w:rPr>
                <w:rStyle w:val="16"/>
                <w:rFonts w:hint="eastAsia" w:ascii="仿宋" w:hAnsi="仿宋" w:eastAsia="仿宋" w:cs="宋体"/>
                <w:sz w:val="24"/>
              </w:rPr>
            </w:pPr>
            <w:r>
              <w:rPr>
                <w:rStyle w:val="16"/>
                <w:rFonts w:hint="eastAsia" w:ascii="仿宋" w:hAnsi="仿宋" w:eastAsia="仿宋" w:cs="宋体"/>
                <w:sz w:val="24"/>
              </w:rPr>
              <w:t>1</w:t>
            </w:r>
          </w:p>
        </w:tc>
        <w:tc>
          <w:tcPr>
            <w:tcW w:w="1997" w:type="pct"/>
            <w:tcBorders>
              <w:top w:val="single" w:color="000000" w:sz="4" w:space="0"/>
              <w:left w:val="nil"/>
              <w:bottom w:val="single" w:color="000000" w:sz="4" w:space="0"/>
              <w:right w:val="single" w:color="000000" w:sz="4" w:space="0"/>
            </w:tcBorders>
            <w:noWrap/>
            <w:vAlign w:val="center"/>
          </w:tcPr>
          <w:p w14:paraId="567C03FB">
            <w:pPr>
              <w:pStyle w:val="17"/>
              <w:widowControl/>
              <w:adjustRightInd w:val="0"/>
              <w:spacing w:line="360" w:lineRule="auto"/>
              <w:jc w:val="left"/>
              <w:textAlignment w:val="baseline"/>
              <w:rPr>
                <w:rStyle w:val="16"/>
                <w:rFonts w:hint="eastAsia" w:ascii="仿宋" w:hAnsi="仿宋" w:eastAsia="仿宋" w:cs="宋体"/>
                <w:sz w:val="24"/>
              </w:rPr>
            </w:pPr>
            <w:r>
              <w:rPr>
                <w:rStyle w:val="16"/>
                <w:rFonts w:hint="eastAsia" w:ascii="仿宋" w:hAnsi="仿宋" w:eastAsia="仿宋" w:cs="宋体"/>
                <w:sz w:val="24"/>
              </w:rPr>
              <w:t>广州市人民政府办公厅202</w:t>
            </w:r>
            <w:r>
              <w:rPr>
                <w:rStyle w:val="16"/>
                <w:rFonts w:ascii="仿宋" w:hAnsi="仿宋" w:eastAsia="仿宋" w:cs="宋体"/>
                <w:sz w:val="24"/>
              </w:rPr>
              <w:t>6</w:t>
            </w:r>
            <w:r>
              <w:rPr>
                <w:rStyle w:val="16"/>
                <w:rFonts w:hint="eastAsia" w:ascii="仿宋" w:hAnsi="仿宋" w:eastAsia="仿宋" w:cs="宋体"/>
                <w:sz w:val="24"/>
              </w:rPr>
              <w:t>-202</w:t>
            </w:r>
            <w:r>
              <w:rPr>
                <w:rStyle w:val="16"/>
                <w:rFonts w:ascii="仿宋" w:hAnsi="仿宋" w:eastAsia="仿宋" w:cs="宋体"/>
                <w:sz w:val="24"/>
              </w:rPr>
              <w:t>7</w:t>
            </w:r>
            <w:r>
              <w:rPr>
                <w:rStyle w:val="16"/>
                <w:rFonts w:hint="eastAsia" w:ascii="仿宋" w:hAnsi="仿宋" w:eastAsia="仿宋" w:cs="宋体"/>
                <w:sz w:val="24"/>
              </w:rPr>
              <w:t>年度信息化运维服务</w:t>
            </w:r>
          </w:p>
        </w:tc>
        <w:tc>
          <w:tcPr>
            <w:tcW w:w="2520" w:type="pct"/>
            <w:tcBorders>
              <w:top w:val="single" w:color="000000" w:sz="4" w:space="0"/>
              <w:left w:val="nil"/>
              <w:bottom w:val="single" w:color="000000" w:sz="4" w:space="0"/>
              <w:right w:val="single" w:color="000000" w:sz="4" w:space="0"/>
            </w:tcBorders>
            <w:noWrap/>
            <w:vAlign w:val="center"/>
          </w:tcPr>
          <w:p w14:paraId="074C0EE3">
            <w:pPr>
              <w:pStyle w:val="17"/>
              <w:widowControl/>
              <w:adjustRightInd w:val="0"/>
              <w:spacing w:line="360" w:lineRule="auto"/>
              <w:jc w:val="left"/>
              <w:textAlignment w:val="baseline"/>
              <w:rPr>
                <w:rStyle w:val="16"/>
                <w:rFonts w:hint="eastAsia" w:ascii="仿宋" w:hAnsi="仿宋" w:eastAsia="仿宋" w:cs="宋体"/>
                <w:sz w:val="24"/>
              </w:rPr>
            </w:pPr>
            <w:r>
              <w:rPr>
                <w:rStyle w:val="16"/>
                <w:rFonts w:ascii="仿宋" w:hAnsi="仿宋" w:eastAsia="仿宋" w:cs="宋体"/>
                <w:sz w:val="24"/>
              </w:rPr>
              <w:t>211</w:t>
            </w:r>
            <w:r>
              <w:rPr>
                <w:rStyle w:val="16"/>
                <w:rFonts w:hint="eastAsia" w:ascii="仿宋" w:hAnsi="仿宋" w:eastAsia="仿宋" w:cs="宋体"/>
                <w:sz w:val="24"/>
              </w:rPr>
              <w:t>.</w:t>
            </w:r>
            <w:r>
              <w:rPr>
                <w:rStyle w:val="16"/>
                <w:rFonts w:ascii="仿宋" w:hAnsi="仿宋" w:eastAsia="仿宋" w:cs="宋体"/>
                <w:sz w:val="24"/>
              </w:rPr>
              <w:t>2722</w:t>
            </w:r>
            <w:r>
              <w:rPr>
                <w:rStyle w:val="16"/>
                <w:rFonts w:hint="eastAsia" w:ascii="仿宋" w:hAnsi="仿宋" w:eastAsia="仿宋" w:cs="宋体"/>
                <w:sz w:val="24"/>
              </w:rPr>
              <w:t>万元</w:t>
            </w:r>
          </w:p>
        </w:tc>
      </w:tr>
    </w:tbl>
    <w:p w14:paraId="56995AC1">
      <w:pPr>
        <w:pStyle w:val="17"/>
        <w:widowControl/>
        <w:adjustRightInd w:val="0"/>
        <w:spacing w:line="360" w:lineRule="auto"/>
        <w:ind w:firstLine="480" w:firstLineChars="200"/>
        <w:jc w:val="left"/>
        <w:textAlignment w:val="baseline"/>
        <w:rPr>
          <w:rStyle w:val="16"/>
          <w:rFonts w:hint="eastAsia" w:ascii="仿宋" w:hAnsi="仿宋" w:eastAsia="仿宋" w:cs="宋体"/>
          <w:sz w:val="24"/>
        </w:rPr>
      </w:pPr>
    </w:p>
    <w:p w14:paraId="58232B5F">
      <w:pPr>
        <w:pStyle w:val="17"/>
        <w:widowControl/>
        <w:adjustRightInd w:val="0"/>
        <w:spacing w:line="360" w:lineRule="auto"/>
        <w:ind w:firstLine="480" w:firstLineChars="200"/>
        <w:jc w:val="left"/>
        <w:textAlignment w:val="baseline"/>
        <w:rPr>
          <w:rStyle w:val="16"/>
          <w:rFonts w:hint="eastAsia" w:ascii="仿宋" w:hAnsi="仿宋" w:eastAsia="仿宋" w:cs="宋体"/>
          <w:sz w:val="24"/>
        </w:rPr>
      </w:pPr>
      <w:r>
        <w:rPr>
          <w:rStyle w:val="16"/>
          <w:rFonts w:hint="eastAsia" w:ascii="仿宋" w:hAnsi="仿宋" w:eastAsia="仿宋" w:cs="宋体"/>
          <w:sz w:val="24"/>
        </w:rPr>
        <w:t>★投标人须承诺与采购人现有信息化运维单位进行交接时，不得影响采购人正常工作的开展，确保采购人所有系统正常运转。本期运维工作结束后必须无条件配合采购人做好与下期运维单位的移交工作。由此可能产生的费用（包括但不限于设备拆除、搬运、安装及调试）由中标人承担（提供承诺函，格式自拟）。</w:t>
      </w:r>
    </w:p>
    <w:p w14:paraId="654F2438">
      <w:pPr>
        <w:pStyle w:val="17"/>
        <w:widowControl/>
        <w:adjustRightInd w:val="0"/>
        <w:spacing w:line="360" w:lineRule="auto"/>
        <w:ind w:firstLine="480" w:firstLineChars="200"/>
        <w:jc w:val="left"/>
        <w:textAlignment w:val="baseline"/>
        <w:rPr>
          <w:rStyle w:val="16"/>
          <w:rFonts w:hint="eastAsia" w:ascii="仿宋" w:hAnsi="仿宋" w:eastAsia="仿宋" w:cs="宋体"/>
          <w:sz w:val="24"/>
        </w:rPr>
      </w:pPr>
      <w:r>
        <w:rPr>
          <w:rStyle w:val="16"/>
          <w:rFonts w:hint="eastAsia" w:ascii="仿宋" w:hAnsi="仿宋" w:eastAsia="仿宋" w:cs="宋体"/>
          <w:sz w:val="24"/>
        </w:rPr>
        <w:t>本项目的运维期限：</w:t>
      </w:r>
      <w:r>
        <w:rPr>
          <w:rStyle w:val="16"/>
          <w:rFonts w:hint="eastAsia" w:ascii="仿宋" w:hAnsi="仿宋" w:eastAsia="仿宋" w:cs="宋体"/>
          <w:color w:val="000000"/>
          <w:sz w:val="24"/>
        </w:rPr>
        <w:t>202</w:t>
      </w:r>
      <w:r>
        <w:rPr>
          <w:rStyle w:val="16"/>
          <w:rFonts w:ascii="仿宋" w:hAnsi="仿宋" w:eastAsia="仿宋" w:cs="宋体"/>
          <w:color w:val="000000"/>
          <w:sz w:val="24"/>
        </w:rPr>
        <w:t>6</w:t>
      </w:r>
      <w:r>
        <w:rPr>
          <w:rStyle w:val="16"/>
          <w:rFonts w:hint="eastAsia" w:ascii="仿宋" w:hAnsi="仿宋" w:eastAsia="仿宋" w:cs="宋体"/>
          <w:color w:val="000000"/>
          <w:sz w:val="24"/>
        </w:rPr>
        <w:t>年6月21日至202</w:t>
      </w:r>
      <w:r>
        <w:rPr>
          <w:rStyle w:val="16"/>
          <w:rFonts w:ascii="仿宋" w:hAnsi="仿宋" w:eastAsia="仿宋" w:cs="宋体"/>
          <w:color w:val="000000"/>
          <w:sz w:val="24"/>
        </w:rPr>
        <w:t>7</w:t>
      </w:r>
      <w:r>
        <w:rPr>
          <w:rStyle w:val="16"/>
          <w:rFonts w:hint="eastAsia" w:ascii="仿宋" w:hAnsi="仿宋" w:eastAsia="仿宋" w:cs="宋体"/>
          <w:color w:val="000000"/>
          <w:sz w:val="24"/>
        </w:rPr>
        <w:t>年6月20日</w:t>
      </w:r>
      <w:r>
        <w:rPr>
          <w:rStyle w:val="16"/>
          <w:rFonts w:hint="eastAsia" w:ascii="仿宋" w:hAnsi="仿宋" w:eastAsia="仿宋" w:cs="宋体"/>
          <w:sz w:val="24"/>
        </w:rPr>
        <w:t>。对采购人仍在保修期内的项目或新建项目，投标人需配合开展相关系统和设备的检查、使用、故障排除等日常管理工作；并按采购人相关项目合同的要求，处理保修期内设备报修以及修复后达到预期使用状态前所必需的调试工作。对采购人超出保修期的系统、设备按本公告所列运维需求开展运维服务。</w:t>
      </w:r>
    </w:p>
    <w:p w14:paraId="4229B106">
      <w:pPr>
        <w:pStyle w:val="2"/>
        <w:spacing w:before="156" w:after="156" w:line="240" w:lineRule="auto"/>
        <w:rPr>
          <w:rFonts w:hint="eastAsia" w:ascii="仿宋" w:hAnsi="仿宋" w:eastAsia="仿宋"/>
          <w:szCs w:val="24"/>
        </w:rPr>
      </w:pPr>
      <w:r>
        <w:rPr>
          <w:rFonts w:hint="eastAsia" w:ascii="仿宋" w:hAnsi="仿宋" w:eastAsia="仿宋"/>
          <w:szCs w:val="24"/>
        </w:rPr>
        <w:t xml:space="preserve"> 项目概述</w:t>
      </w:r>
    </w:p>
    <w:p w14:paraId="6B33698E">
      <w:pPr>
        <w:pStyle w:val="15"/>
        <w:spacing w:line="360" w:lineRule="auto"/>
        <w:ind w:right="-53" w:firstLine="480" w:firstLineChars="200"/>
        <w:rPr>
          <w:rStyle w:val="16"/>
          <w:rFonts w:hint="eastAsia" w:ascii="仿宋" w:hAnsi="仿宋" w:eastAsia="仿宋" w:cs="宋体"/>
          <w:sz w:val="24"/>
        </w:rPr>
      </w:pPr>
      <w:r>
        <w:rPr>
          <w:rStyle w:val="16"/>
          <w:rFonts w:hint="eastAsia" w:ascii="仿宋" w:hAnsi="仿宋" w:eastAsia="仿宋" w:cs="宋体"/>
          <w:color w:val="000000"/>
          <w:sz w:val="24"/>
        </w:rPr>
        <w:t>项目工期要求：202</w:t>
      </w:r>
      <w:r>
        <w:rPr>
          <w:rStyle w:val="16"/>
          <w:rFonts w:ascii="仿宋" w:hAnsi="仿宋" w:eastAsia="仿宋" w:cs="宋体"/>
          <w:color w:val="000000"/>
          <w:sz w:val="24"/>
        </w:rPr>
        <w:t>6</w:t>
      </w:r>
      <w:r>
        <w:rPr>
          <w:rStyle w:val="16"/>
          <w:rFonts w:hint="eastAsia" w:ascii="仿宋" w:hAnsi="仿宋" w:eastAsia="仿宋" w:cs="宋体"/>
          <w:color w:val="000000"/>
          <w:sz w:val="24"/>
        </w:rPr>
        <w:t>年6月21日至202</w:t>
      </w:r>
      <w:r>
        <w:rPr>
          <w:rStyle w:val="16"/>
          <w:rFonts w:ascii="仿宋" w:hAnsi="仿宋" w:eastAsia="仿宋" w:cs="宋体"/>
          <w:color w:val="000000"/>
          <w:sz w:val="24"/>
        </w:rPr>
        <w:t>7</w:t>
      </w:r>
      <w:r>
        <w:rPr>
          <w:rStyle w:val="16"/>
          <w:rFonts w:hint="eastAsia" w:ascii="仿宋" w:hAnsi="仿宋" w:eastAsia="仿宋" w:cs="宋体"/>
          <w:color w:val="000000"/>
          <w:sz w:val="24"/>
        </w:rPr>
        <w:t>年6月20日为期一年的</w:t>
      </w:r>
      <w:r>
        <w:rPr>
          <w:rStyle w:val="16"/>
          <w:rFonts w:hint="eastAsia" w:ascii="仿宋" w:hAnsi="仿宋" w:eastAsia="仿宋" w:cs="宋体"/>
          <w:sz w:val="24"/>
        </w:rPr>
        <w:t>运行维护服务。</w:t>
      </w:r>
    </w:p>
    <w:p w14:paraId="299AC4DA">
      <w:pPr>
        <w:pStyle w:val="3"/>
        <w:spacing w:before="156" w:after="156"/>
        <w:jc w:val="both"/>
        <w:rPr>
          <w:rFonts w:hint="eastAsia" w:ascii="仿宋" w:hAnsi="仿宋" w:eastAsia="仿宋" w:cs="宋体"/>
          <w:szCs w:val="24"/>
        </w:rPr>
      </w:pPr>
      <w:r>
        <w:rPr>
          <w:rFonts w:hint="eastAsia" w:ascii="仿宋" w:hAnsi="仿宋" w:eastAsia="仿宋" w:cs="宋体"/>
          <w:szCs w:val="24"/>
        </w:rPr>
        <w:t>项目总体目标</w:t>
      </w:r>
    </w:p>
    <w:p w14:paraId="5AC80141">
      <w:pPr>
        <w:pStyle w:val="15"/>
        <w:spacing w:line="360" w:lineRule="auto"/>
        <w:ind w:firstLine="570"/>
        <w:rPr>
          <w:rStyle w:val="16"/>
          <w:rFonts w:hint="eastAsia" w:ascii="仿宋" w:hAnsi="仿宋" w:eastAsia="仿宋" w:cs="宋体"/>
          <w:color w:val="000000"/>
          <w:sz w:val="24"/>
        </w:rPr>
      </w:pPr>
      <w:r>
        <w:rPr>
          <w:rStyle w:val="16"/>
          <w:rFonts w:hint="eastAsia" w:ascii="仿宋" w:hAnsi="仿宋" w:eastAsia="仿宋" w:cs="宋体"/>
          <w:color w:val="000000"/>
          <w:sz w:val="24"/>
        </w:rPr>
        <w:t>在现有维护体系的基础上，以ITIL理念为指导，以主动服务为导向，完善和提升信息系统运维的手段和内容，维护采购人各系统的正常运行、记录各信息系统的运行情况、进行相关系统的软硬件更新、提高各信息系统的性能，确保各信息系统在有效工作时间内正常运行，保证各信息系统数据的完整安全性，确保日常办公信息系统的稳定运行。</w:t>
      </w:r>
    </w:p>
    <w:p w14:paraId="489D2E9A">
      <w:pPr>
        <w:pStyle w:val="15"/>
        <w:spacing w:line="360" w:lineRule="auto"/>
        <w:ind w:firstLine="570"/>
        <w:rPr>
          <w:rStyle w:val="16"/>
          <w:rFonts w:hint="eastAsia" w:ascii="仿宋" w:hAnsi="仿宋" w:eastAsia="仿宋" w:cs="宋体"/>
          <w:color w:val="000000"/>
          <w:sz w:val="24"/>
        </w:rPr>
      </w:pPr>
      <w:r>
        <w:rPr>
          <w:rStyle w:val="16"/>
          <w:rFonts w:hint="eastAsia" w:ascii="仿宋" w:hAnsi="仿宋" w:eastAsia="仿宋" w:cs="宋体"/>
          <w:color w:val="000000"/>
          <w:sz w:val="24"/>
        </w:rPr>
        <w:t>使采购人运维服务更加规范化、专业化和高效化，从而在原有建立的以主动服务为主导思想的信息化管理体系上做进一步的补充修正，提升整体信息化支持能力，为采购人电子政务信息化建设提供规范、高效、稳定的整体支撑环境，保障各项日常工作及内部业务的稳定开展，更好的提升采购人业务服务能力和服务效率。</w:t>
      </w:r>
    </w:p>
    <w:p w14:paraId="5B509AC7">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通过信息化运维服务，达到以下目标：</w:t>
      </w:r>
    </w:p>
    <w:p w14:paraId="798513A9">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1.</w:t>
      </w:r>
      <w:r>
        <w:rPr>
          <w:rFonts w:ascii="仿宋" w:hAnsi="仿宋" w:eastAsia="仿宋" w:cs="宋体"/>
          <w:kern w:val="0"/>
          <w:sz w:val="24"/>
        </w:rPr>
        <w:tab/>
      </w:r>
      <w:r>
        <w:rPr>
          <w:rFonts w:hint="eastAsia" w:ascii="仿宋" w:hAnsi="仿宋" w:eastAsia="仿宋" w:cs="宋体"/>
          <w:kern w:val="0"/>
          <w:sz w:val="24"/>
        </w:rPr>
        <w:t>完善系统运维的手段，保障广州市政府办公厅信息化工作</w:t>
      </w:r>
    </w:p>
    <w:p w14:paraId="29BE09A6">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以</w:t>
      </w:r>
      <w:r>
        <w:rPr>
          <w:rFonts w:ascii="仿宋" w:hAnsi="仿宋" w:eastAsia="仿宋" w:cs="宋体"/>
          <w:kern w:val="0"/>
          <w:sz w:val="24"/>
        </w:rPr>
        <w:t>ITIL理念为指导，以主动服务为导向，完善</w:t>
      </w:r>
      <w:r>
        <w:rPr>
          <w:rFonts w:hint="eastAsia" w:ascii="仿宋" w:hAnsi="仿宋" w:eastAsia="仿宋" w:cs="宋体"/>
          <w:kern w:val="0"/>
          <w:sz w:val="24"/>
        </w:rPr>
        <w:t>采购人相关系统</w:t>
      </w:r>
      <w:r>
        <w:rPr>
          <w:rFonts w:ascii="仿宋" w:hAnsi="仿宋" w:eastAsia="仿宋" w:cs="宋体"/>
          <w:kern w:val="0"/>
          <w:sz w:val="24"/>
        </w:rPr>
        <w:t>运行维护管理体系，规范系统运维服务模式，提升系统运维服务的规范性、先进性、有效性；在前期信息化建设基础上，进一步加强对机房环境状况、网络环境状况、服务器运行状况、数据库运行状况、信息系统运行状况的集中监控，提升</w:t>
      </w:r>
      <w:r>
        <w:rPr>
          <w:rFonts w:hint="eastAsia" w:ascii="仿宋" w:hAnsi="仿宋" w:eastAsia="仿宋" w:cs="宋体"/>
          <w:kern w:val="0"/>
          <w:sz w:val="24"/>
        </w:rPr>
        <w:t>采购人相关</w:t>
      </w:r>
      <w:r>
        <w:rPr>
          <w:rFonts w:ascii="仿宋" w:hAnsi="仿宋" w:eastAsia="仿宋" w:cs="宋体"/>
          <w:kern w:val="0"/>
          <w:sz w:val="24"/>
        </w:rPr>
        <w:t>运维服务人员对突发事件的应变能力和预防能力。</w:t>
      </w:r>
    </w:p>
    <w:p w14:paraId="771D364B">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2.</w:t>
      </w:r>
      <w:r>
        <w:rPr>
          <w:rFonts w:ascii="仿宋" w:hAnsi="仿宋" w:eastAsia="仿宋" w:cs="宋体"/>
          <w:kern w:val="0"/>
          <w:sz w:val="24"/>
        </w:rPr>
        <w:tab/>
      </w:r>
      <w:r>
        <w:rPr>
          <w:rFonts w:hint="eastAsia" w:ascii="仿宋" w:hAnsi="仿宋" w:eastAsia="仿宋" w:cs="宋体"/>
          <w:kern w:val="0"/>
          <w:sz w:val="24"/>
        </w:rPr>
        <w:t>完善</w:t>
      </w:r>
      <w:bookmarkStart w:id="27" w:name="_GoBack"/>
      <w:bookmarkEnd w:id="27"/>
      <w:r>
        <w:rPr>
          <w:rFonts w:hint="eastAsia" w:ascii="仿宋" w:hAnsi="仿宋" w:eastAsia="仿宋" w:cs="宋体"/>
          <w:kern w:val="0"/>
          <w:sz w:val="24"/>
        </w:rPr>
        <w:t>系统运维体系的内容，保障核心业务的信息化支撑范围</w:t>
      </w:r>
    </w:p>
    <w:p w14:paraId="4C8C5D2D">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建立和完善核心、专用设备的运维服务体系，实现对核心设备的主动巡检；延续前期相关系统的运行维护，保证所有相关系统稳定运行，提升相关系统的可用性、可维护性、可扩展性；逐步对相关核心软件进行正版化，提升相关系统的安全性和可靠性。</w:t>
      </w:r>
    </w:p>
    <w:p w14:paraId="14AE91D1">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3.</w:t>
      </w:r>
      <w:r>
        <w:rPr>
          <w:rFonts w:ascii="仿宋" w:hAnsi="仿宋" w:eastAsia="仿宋" w:cs="宋体"/>
          <w:kern w:val="0"/>
          <w:sz w:val="24"/>
        </w:rPr>
        <w:tab/>
      </w:r>
      <w:r>
        <w:rPr>
          <w:rFonts w:hint="eastAsia" w:ascii="仿宋" w:hAnsi="仿宋" w:eastAsia="仿宋" w:cs="宋体"/>
          <w:kern w:val="0"/>
          <w:sz w:val="24"/>
        </w:rPr>
        <w:t>完善核心应用软件的优化完善，提升工作开展的稳定和效率</w:t>
      </w:r>
    </w:p>
    <w:p w14:paraId="0B02C1A8">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根据政策变动和机构改革调整需要，对已建成的核心相关系统进行扩充和调优，优化业务流程，完善系统功能，满足业务办理需要，并提升系统的安全性和可靠性。</w:t>
      </w:r>
    </w:p>
    <w:p w14:paraId="62C9FFA9">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4.</w:t>
      </w:r>
      <w:r>
        <w:rPr>
          <w:rFonts w:ascii="仿宋" w:hAnsi="仿宋" w:eastAsia="仿宋" w:cs="宋体"/>
          <w:kern w:val="0"/>
          <w:sz w:val="24"/>
        </w:rPr>
        <w:tab/>
      </w:r>
      <w:r>
        <w:rPr>
          <w:rFonts w:ascii="仿宋" w:hAnsi="仿宋" w:eastAsia="仿宋" w:cs="宋体"/>
          <w:kern w:val="0"/>
          <w:sz w:val="24"/>
        </w:rPr>
        <w:t>保障系统稳定性</w:t>
      </w:r>
    </w:p>
    <w:p w14:paraId="294A56DF">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通过持续监控、故障排除和性能优化，确保信息系统能够稳定运行，避免出现故障或中断，为业务的正常进行提供有力保障。</w:t>
      </w:r>
    </w:p>
    <w:p w14:paraId="78561550">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5.</w:t>
      </w:r>
      <w:r>
        <w:rPr>
          <w:rFonts w:ascii="仿宋" w:hAnsi="仿宋" w:eastAsia="仿宋" w:cs="宋体"/>
          <w:kern w:val="0"/>
          <w:sz w:val="24"/>
        </w:rPr>
        <w:tab/>
      </w:r>
      <w:r>
        <w:rPr>
          <w:rFonts w:ascii="仿宋" w:hAnsi="仿宋" w:eastAsia="仿宋" w:cs="宋体"/>
          <w:kern w:val="0"/>
          <w:sz w:val="24"/>
        </w:rPr>
        <w:t>提高系统可靠性</w:t>
      </w:r>
    </w:p>
    <w:p w14:paraId="4DB5F2B0">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通过定期备份和恢复、建立监控系统以及采取相应措施处理异常情况，防止故障扩大化，确保系统数据的安全性和完整性，从而提高系统的可靠性。</w:t>
      </w:r>
    </w:p>
    <w:p w14:paraId="54D53383">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6.</w:t>
      </w:r>
      <w:r>
        <w:rPr>
          <w:rFonts w:ascii="仿宋" w:hAnsi="仿宋" w:eastAsia="仿宋" w:cs="宋体"/>
          <w:kern w:val="0"/>
          <w:sz w:val="24"/>
        </w:rPr>
        <w:tab/>
      </w:r>
      <w:r>
        <w:rPr>
          <w:rFonts w:ascii="仿宋" w:hAnsi="仿宋" w:eastAsia="仿宋" w:cs="宋体"/>
          <w:kern w:val="0"/>
          <w:sz w:val="24"/>
        </w:rPr>
        <w:t>增强系统安全性</w:t>
      </w:r>
    </w:p>
    <w:p w14:paraId="60703860">
      <w:pPr>
        <w:pStyle w:val="8"/>
        <w:spacing w:line="360" w:lineRule="auto"/>
        <w:ind w:firstLine="480" w:firstLineChars="200"/>
        <w:jc w:val="both"/>
        <w:rPr>
          <w:rFonts w:hint="eastAsia" w:ascii="仿宋" w:hAnsi="仿宋" w:eastAsia="仿宋" w:cs="宋体"/>
          <w:kern w:val="0"/>
          <w:sz w:val="24"/>
        </w:rPr>
      </w:pPr>
      <w:r>
        <w:rPr>
          <w:rFonts w:hint="eastAsia" w:ascii="仿宋" w:hAnsi="仿宋" w:eastAsia="仿宋" w:cs="宋体"/>
          <w:kern w:val="0"/>
          <w:sz w:val="24"/>
        </w:rPr>
        <w:t>运维服务通过采取一系列安全措施，如防火墙配置、入侵检测、数据加密等，保护信息系统免受黑客攻击和数据泄露等威胁，确保企业信息安全。</w:t>
      </w:r>
    </w:p>
    <w:p w14:paraId="4301550F">
      <w:pPr>
        <w:pStyle w:val="8"/>
        <w:spacing w:line="360" w:lineRule="auto"/>
        <w:ind w:firstLine="480" w:firstLineChars="200"/>
        <w:jc w:val="both"/>
        <w:rPr>
          <w:rFonts w:hint="eastAsia" w:ascii="仿宋" w:hAnsi="仿宋" w:eastAsia="仿宋" w:cs="宋体"/>
          <w:kern w:val="0"/>
          <w:sz w:val="24"/>
        </w:rPr>
      </w:pPr>
      <w:r>
        <w:rPr>
          <w:rFonts w:ascii="仿宋" w:hAnsi="仿宋" w:eastAsia="仿宋" w:cs="宋体"/>
          <w:kern w:val="0"/>
          <w:sz w:val="24"/>
        </w:rPr>
        <w:t>7.</w:t>
      </w:r>
      <w:r>
        <w:rPr>
          <w:rFonts w:ascii="仿宋" w:hAnsi="仿宋" w:eastAsia="仿宋" w:cs="宋体"/>
          <w:kern w:val="0"/>
          <w:sz w:val="24"/>
        </w:rPr>
        <w:tab/>
      </w:r>
      <w:r>
        <w:rPr>
          <w:rFonts w:ascii="仿宋" w:hAnsi="仿宋" w:eastAsia="仿宋" w:cs="宋体"/>
          <w:kern w:val="0"/>
          <w:sz w:val="24"/>
        </w:rPr>
        <w:t>提升用户体验</w:t>
      </w:r>
    </w:p>
    <w:p w14:paraId="5A93E53E">
      <w:pPr>
        <w:pStyle w:val="15"/>
        <w:spacing w:line="360" w:lineRule="auto"/>
        <w:ind w:firstLine="570"/>
        <w:rPr>
          <w:rFonts w:hint="eastAsia" w:ascii="仿宋" w:hAnsi="仿宋" w:eastAsia="仿宋" w:cs="宋体"/>
          <w:kern w:val="0"/>
          <w:sz w:val="24"/>
        </w:rPr>
      </w:pPr>
      <w:r>
        <w:rPr>
          <w:rFonts w:hint="eastAsia" w:ascii="仿宋" w:hAnsi="仿宋" w:eastAsia="仿宋" w:cs="宋体"/>
          <w:kern w:val="0"/>
          <w:sz w:val="24"/>
        </w:rPr>
        <w:t>运维服务关注用户需求，通过优化系统性能和功能，提高用户满意度。</w:t>
      </w:r>
    </w:p>
    <w:p w14:paraId="7F7EBDF0">
      <w:pPr>
        <w:pStyle w:val="15"/>
        <w:spacing w:line="360" w:lineRule="auto"/>
        <w:ind w:firstLine="570"/>
        <w:rPr>
          <w:rStyle w:val="16"/>
          <w:rFonts w:hint="eastAsia" w:ascii="仿宋" w:hAnsi="仿宋" w:eastAsia="仿宋" w:cs="宋体"/>
          <w:color w:val="000000"/>
          <w:sz w:val="24"/>
        </w:rPr>
      </w:pPr>
    </w:p>
    <w:p w14:paraId="6D568E7D">
      <w:pPr>
        <w:pStyle w:val="3"/>
        <w:spacing w:before="156" w:after="156"/>
        <w:jc w:val="both"/>
        <w:rPr>
          <w:rFonts w:hint="eastAsia" w:ascii="仿宋" w:hAnsi="仿宋" w:eastAsia="仿宋" w:cs="宋体"/>
          <w:szCs w:val="24"/>
        </w:rPr>
      </w:pPr>
      <w:r>
        <w:rPr>
          <w:rFonts w:hint="eastAsia" w:ascii="仿宋" w:hAnsi="仿宋" w:eastAsia="仿宋" w:cs="宋体"/>
          <w:szCs w:val="24"/>
        </w:rPr>
        <w:t>维护范围及内容</w:t>
      </w:r>
    </w:p>
    <w:p w14:paraId="3938DDA1">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本项目维护范围主要是广州市人民政府办公厅相关软硬件基础设施、应用类系统和信息系统安全服务等。</w:t>
      </w:r>
    </w:p>
    <w:p w14:paraId="659C0094">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基础设施主要包括视频会议系统服务端核心设备和L</w:t>
      </w:r>
      <w:r>
        <w:rPr>
          <w:rStyle w:val="16"/>
          <w:rFonts w:ascii="仿宋" w:hAnsi="仿宋" w:eastAsia="仿宋"/>
          <w:color w:val="000000"/>
          <w:sz w:val="24"/>
        </w:rPr>
        <w:t>ED屏</w:t>
      </w:r>
      <w:r>
        <w:rPr>
          <w:rStyle w:val="16"/>
          <w:rFonts w:hint="eastAsia" w:ascii="仿宋" w:hAnsi="仿宋" w:eastAsia="仿宋"/>
          <w:color w:val="000000"/>
          <w:sz w:val="24"/>
        </w:rPr>
        <w:t>等。</w:t>
      </w:r>
    </w:p>
    <w:p w14:paraId="3416C2C4">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应用类系统主要有</w:t>
      </w:r>
      <w:r>
        <w:rPr>
          <w:rFonts w:hint="eastAsia" w:ascii="仿宋" w:hAnsi="仿宋" w:eastAsia="仿宋"/>
          <w:sz w:val="24"/>
        </w:rPr>
        <w:t>市政府智慧大院预约报账管理系统、广州市政府值班值守系统和广东省预算单位财务管理系统广州市分级系统共3套政务信息系统</w:t>
      </w:r>
      <w:r>
        <w:rPr>
          <w:rStyle w:val="16"/>
          <w:rFonts w:hint="eastAsia" w:ascii="仿宋" w:hAnsi="仿宋" w:eastAsia="仿宋"/>
          <w:color w:val="000000"/>
          <w:sz w:val="24"/>
        </w:rPr>
        <w:t>。</w:t>
      </w:r>
    </w:p>
    <w:p w14:paraId="633D60C6">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信息系统安全服务主要包括</w:t>
      </w:r>
      <w:r>
        <w:rPr>
          <w:rStyle w:val="16"/>
          <w:rFonts w:ascii="仿宋" w:hAnsi="仿宋" w:eastAsia="仿宋" w:cs="Noto Sans"/>
          <w:color w:val="000000"/>
          <w:sz w:val="24"/>
        </w:rPr>
        <w:t>网络安全等级保护测评服务</w:t>
      </w:r>
      <w:r>
        <w:rPr>
          <w:rStyle w:val="16"/>
          <w:rFonts w:hint="eastAsia" w:ascii="仿宋" w:hAnsi="仿宋" w:eastAsia="仿宋" w:cs="Noto Sans"/>
          <w:color w:val="000000"/>
          <w:sz w:val="24"/>
        </w:rPr>
        <w:t>、</w:t>
      </w:r>
      <w:r>
        <w:rPr>
          <w:rStyle w:val="16"/>
          <w:rFonts w:ascii="仿宋" w:hAnsi="仿宋" w:eastAsia="仿宋" w:cs="Noto Sans"/>
          <w:color w:val="000000"/>
          <w:sz w:val="24"/>
        </w:rPr>
        <w:t>商用密码应用安全性评估服务</w:t>
      </w:r>
      <w:r>
        <w:rPr>
          <w:rStyle w:val="16"/>
          <w:rFonts w:hint="eastAsia" w:ascii="仿宋" w:hAnsi="仿宋" w:eastAsia="仿宋" w:cs="Noto Sans"/>
          <w:color w:val="000000"/>
          <w:sz w:val="24"/>
        </w:rPr>
        <w:t>、</w:t>
      </w:r>
      <w:r>
        <w:rPr>
          <w:rStyle w:val="16"/>
          <w:rFonts w:ascii="仿宋" w:hAnsi="仿宋" w:eastAsia="仿宋" w:cs="Noto Sans"/>
          <w:color w:val="000000"/>
          <w:sz w:val="24"/>
        </w:rPr>
        <w:t>数据安全风险评估服务</w:t>
      </w:r>
      <w:r>
        <w:rPr>
          <w:rStyle w:val="16"/>
          <w:rFonts w:hint="eastAsia" w:ascii="仿宋" w:hAnsi="仿宋" w:eastAsia="仿宋" w:cs="Noto Sans"/>
          <w:color w:val="000000"/>
          <w:sz w:val="24"/>
        </w:rPr>
        <w:t>、</w:t>
      </w:r>
      <w:r>
        <w:rPr>
          <w:rStyle w:val="16"/>
          <w:rFonts w:ascii="仿宋" w:hAnsi="仿宋" w:eastAsia="仿宋" w:cs="Noto Sans"/>
          <w:color w:val="000000"/>
          <w:sz w:val="24"/>
        </w:rPr>
        <w:t>SSL国密证书</w:t>
      </w:r>
      <w:r>
        <w:rPr>
          <w:rStyle w:val="16"/>
          <w:rFonts w:hint="eastAsia" w:ascii="仿宋" w:hAnsi="仿宋" w:eastAsia="仿宋"/>
          <w:color w:val="000000"/>
          <w:sz w:val="24"/>
        </w:rPr>
        <w:t>等。</w:t>
      </w:r>
    </w:p>
    <w:p w14:paraId="4565A866">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 xml:space="preserve"> </w:t>
      </w:r>
    </w:p>
    <w:p w14:paraId="4DE340EB">
      <w:pPr>
        <w:pStyle w:val="15"/>
        <w:spacing w:line="360" w:lineRule="auto"/>
        <w:ind w:firstLine="482" w:firstLineChars="200"/>
        <w:rPr>
          <w:rStyle w:val="16"/>
          <w:rFonts w:hint="eastAsia" w:ascii="仿宋" w:hAnsi="仿宋" w:eastAsia="仿宋"/>
          <w:b/>
          <w:color w:val="000000"/>
          <w:sz w:val="24"/>
        </w:rPr>
      </w:pPr>
      <w:r>
        <w:rPr>
          <w:rStyle w:val="16"/>
          <w:rFonts w:hint="eastAsia" w:ascii="仿宋" w:hAnsi="仿宋" w:eastAsia="仿宋"/>
          <w:b/>
          <w:color w:val="000000"/>
          <w:sz w:val="24"/>
        </w:rPr>
        <w:t>本项目维护内容主要包括：</w:t>
      </w:r>
    </w:p>
    <w:p w14:paraId="76ADF6AA">
      <w:pPr>
        <w:pStyle w:val="15"/>
        <w:spacing w:line="360" w:lineRule="auto"/>
        <w:ind w:firstLine="480" w:firstLineChars="200"/>
        <w:rPr>
          <w:rStyle w:val="16"/>
          <w:rFonts w:hint="eastAsia" w:ascii="仿宋" w:hAnsi="仿宋" w:eastAsia="仿宋"/>
          <w:sz w:val="24"/>
        </w:rPr>
      </w:pPr>
      <w:r>
        <w:rPr>
          <w:rStyle w:val="16"/>
          <w:rFonts w:hint="eastAsia" w:ascii="仿宋" w:hAnsi="仿宋" w:eastAsia="仿宋"/>
          <w:color w:val="000000"/>
          <w:sz w:val="24"/>
        </w:rPr>
        <w:t>（一）视频会议系统服务端核心设备</w:t>
      </w:r>
      <w:r>
        <w:rPr>
          <w:rStyle w:val="16"/>
          <w:rFonts w:hint="eastAsia" w:ascii="仿宋" w:hAnsi="仿宋" w:eastAsia="仿宋"/>
          <w:bCs/>
          <w:sz w:val="24"/>
        </w:rPr>
        <w:t>及多间会议室的</w:t>
      </w:r>
      <w:r>
        <w:rPr>
          <w:rStyle w:val="16"/>
          <w:rFonts w:ascii="仿宋" w:hAnsi="仿宋" w:eastAsia="仿宋"/>
          <w:bCs/>
          <w:sz w:val="24"/>
        </w:rPr>
        <w:t>LED屏</w:t>
      </w:r>
      <w:r>
        <w:rPr>
          <w:rStyle w:val="16"/>
          <w:rFonts w:hint="eastAsia" w:ascii="仿宋" w:hAnsi="仿宋" w:eastAsia="仿宋"/>
          <w:bCs/>
          <w:sz w:val="24"/>
        </w:rPr>
        <w:t>已基本超出免费维保服务期，需采购每月巡检、故障检测与排除、清洁与保养服务</w:t>
      </w:r>
      <w:r>
        <w:rPr>
          <w:rStyle w:val="16"/>
          <w:rFonts w:hint="eastAsia" w:ascii="仿宋" w:hAnsi="仿宋" w:eastAsia="仿宋"/>
          <w:sz w:val="24"/>
        </w:rPr>
        <w:t>；</w:t>
      </w:r>
    </w:p>
    <w:p w14:paraId="2DE4725A">
      <w:pPr>
        <w:pStyle w:val="15"/>
        <w:spacing w:line="360" w:lineRule="auto"/>
        <w:ind w:firstLine="480" w:firstLineChars="200"/>
        <w:rPr>
          <w:rStyle w:val="16"/>
          <w:rFonts w:hint="eastAsia" w:ascii="仿宋" w:hAnsi="仿宋" w:eastAsia="仿宋"/>
          <w:sz w:val="24"/>
        </w:rPr>
      </w:pPr>
      <w:r>
        <w:rPr>
          <w:rStyle w:val="16"/>
          <w:rFonts w:hint="eastAsia" w:ascii="仿宋" w:hAnsi="仿宋" w:eastAsia="仿宋"/>
          <w:sz w:val="24"/>
        </w:rPr>
        <w:t>（二）采购人已建成有</w:t>
      </w:r>
      <w:r>
        <w:rPr>
          <w:rFonts w:hint="eastAsia" w:ascii="仿宋" w:hAnsi="仿宋" w:eastAsia="仿宋"/>
          <w:sz w:val="24"/>
        </w:rPr>
        <w:t>市政府智慧大院预约报账管理系统、广州市政府值班值守系统和广东省预算单位财务管理系统广州市分级系统</w:t>
      </w:r>
      <w:r>
        <w:rPr>
          <w:rStyle w:val="16"/>
          <w:rFonts w:hint="eastAsia" w:ascii="仿宋" w:hAnsi="仿宋" w:eastAsia="仿宋"/>
          <w:sz w:val="24"/>
        </w:rPr>
        <w:t>，现已过免费维护期，为保障系统正常运行，需要对上述相关系统提供日常运行维护、系统故障检测与排除、运行状态监控与日常维护等服务；其中</w:t>
      </w:r>
      <w:r>
        <w:rPr>
          <w:rFonts w:hint="eastAsia" w:ascii="仿宋" w:hAnsi="仿宋" w:eastAsia="仿宋"/>
          <w:sz w:val="24"/>
        </w:rPr>
        <w:t>广州市政府值班值守系统</w:t>
      </w:r>
      <w:r>
        <w:rPr>
          <w:rStyle w:val="16"/>
          <w:rFonts w:hint="eastAsia" w:ascii="仿宋" w:hAnsi="仿宋" w:eastAsia="仿宋"/>
          <w:sz w:val="24"/>
        </w:rPr>
        <w:t>还包含福昕鲲鹏OCR识别服务系统、政务知识赋能系统两套第三方子系统的日常运维；</w:t>
      </w:r>
    </w:p>
    <w:p w14:paraId="765902A8">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（三）网络安全服务：包括安全等级保护测评服务，商用密码应用测评服务，数据安全风险评估服务及国密SSL证书、国际标准SSL证书、CA证书、安全虚拟云桌面的授权服务等。</w:t>
      </w:r>
    </w:p>
    <w:p w14:paraId="48C27340">
      <w:pPr>
        <w:pStyle w:val="15"/>
        <w:spacing w:line="360" w:lineRule="auto"/>
        <w:ind w:firstLine="480" w:firstLineChars="200"/>
        <w:rPr>
          <w:rStyle w:val="16"/>
          <w:rFonts w:hint="eastAsia" w:ascii="仿宋" w:hAnsi="仿宋" w:eastAsia="仿宋"/>
          <w:color w:val="000000"/>
          <w:sz w:val="24"/>
        </w:rPr>
      </w:pPr>
      <w:r>
        <w:rPr>
          <w:rStyle w:val="16"/>
          <w:rFonts w:hint="eastAsia" w:ascii="仿宋" w:hAnsi="仿宋" w:eastAsia="仿宋"/>
          <w:color w:val="000000"/>
          <w:sz w:val="24"/>
        </w:rPr>
        <w:t>具体的维护范围及内容如下表所示：</w:t>
      </w:r>
    </w:p>
    <w:tbl>
      <w:tblPr>
        <w:tblStyle w:val="11"/>
        <w:tblW w:w="53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1758"/>
        <w:gridCol w:w="3071"/>
        <w:gridCol w:w="3601"/>
      </w:tblGrid>
      <w:tr w14:paraId="31D0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8" w:type="dxa"/>
            <w:vAlign w:val="center"/>
          </w:tcPr>
          <w:p w14:paraId="7D38EB15">
            <w:pPr>
              <w:pStyle w:val="15"/>
              <w:spacing w:line="360" w:lineRule="auto"/>
              <w:rPr>
                <w:rStyle w:val="16"/>
                <w:rFonts w:hint="eastAsia" w:ascii="仿宋" w:hAnsi="仿宋" w:eastAsia="仿宋"/>
                <w:color w:val="000000"/>
                <w:sz w:val="24"/>
              </w:rPr>
            </w:pPr>
            <w:r>
              <w:rPr>
                <w:rFonts w:hint="eastAsia" w:ascii="仿宋" w:hAnsi="仿宋" w:eastAsia="仿宋" w:cs="宋体"/>
                <w:b/>
                <w:bCs/>
                <w:color w:val="000000"/>
                <w:kern w:val="0"/>
                <w:sz w:val="24"/>
              </w:rPr>
              <w:t>序号</w:t>
            </w:r>
          </w:p>
        </w:tc>
        <w:tc>
          <w:tcPr>
            <w:tcW w:w="1711" w:type="dxa"/>
            <w:vAlign w:val="center"/>
          </w:tcPr>
          <w:p w14:paraId="1D32C410">
            <w:pPr>
              <w:pStyle w:val="15"/>
              <w:spacing w:line="360" w:lineRule="auto"/>
              <w:rPr>
                <w:rStyle w:val="16"/>
                <w:rFonts w:hint="eastAsia" w:ascii="仿宋" w:hAnsi="仿宋" w:eastAsia="仿宋"/>
                <w:color w:val="000000"/>
                <w:sz w:val="24"/>
              </w:rPr>
            </w:pPr>
            <w:r>
              <w:rPr>
                <w:rFonts w:hint="eastAsia" w:ascii="仿宋" w:hAnsi="仿宋" w:eastAsia="仿宋" w:cs="宋体"/>
                <w:b/>
                <w:bCs/>
                <w:color w:val="000000"/>
                <w:kern w:val="0"/>
                <w:sz w:val="24"/>
              </w:rPr>
              <w:t>项目名称</w:t>
            </w:r>
          </w:p>
        </w:tc>
        <w:tc>
          <w:tcPr>
            <w:tcW w:w="2990" w:type="dxa"/>
            <w:vAlign w:val="center"/>
          </w:tcPr>
          <w:p w14:paraId="69BAC12A">
            <w:pPr>
              <w:pStyle w:val="15"/>
              <w:spacing w:line="360" w:lineRule="auto"/>
              <w:rPr>
                <w:rStyle w:val="16"/>
                <w:rFonts w:hint="eastAsia" w:ascii="仿宋" w:hAnsi="仿宋" w:eastAsia="仿宋"/>
                <w:color w:val="000000"/>
                <w:sz w:val="24"/>
              </w:rPr>
            </w:pPr>
            <w:r>
              <w:rPr>
                <w:rFonts w:hint="eastAsia" w:ascii="仿宋" w:hAnsi="仿宋" w:eastAsia="仿宋" w:cs="宋体"/>
                <w:b/>
                <w:bCs/>
                <w:color w:val="000000"/>
                <w:kern w:val="0"/>
                <w:sz w:val="24"/>
              </w:rPr>
              <w:t>运维内容</w:t>
            </w:r>
          </w:p>
        </w:tc>
        <w:tc>
          <w:tcPr>
            <w:tcW w:w="3506" w:type="dxa"/>
            <w:vAlign w:val="center"/>
          </w:tcPr>
          <w:p w14:paraId="3E83C2DF">
            <w:pPr>
              <w:pStyle w:val="15"/>
              <w:spacing w:line="360" w:lineRule="auto"/>
              <w:rPr>
                <w:rStyle w:val="16"/>
                <w:rFonts w:hint="eastAsia" w:ascii="仿宋" w:hAnsi="仿宋" w:eastAsia="仿宋"/>
                <w:color w:val="000000"/>
                <w:sz w:val="24"/>
              </w:rPr>
            </w:pPr>
            <w:r>
              <w:rPr>
                <w:rFonts w:hint="eastAsia" w:ascii="仿宋" w:hAnsi="仿宋" w:eastAsia="仿宋" w:cs="宋体"/>
                <w:b/>
                <w:bCs/>
                <w:color w:val="000000"/>
                <w:kern w:val="0"/>
                <w:sz w:val="24"/>
              </w:rPr>
              <w:t>备注</w:t>
            </w:r>
          </w:p>
        </w:tc>
      </w:tr>
      <w:tr w14:paraId="47C9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8" w:type="dxa"/>
            <w:vAlign w:val="center"/>
          </w:tcPr>
          <w:p w14:paraId="7E928866">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1</w:t>
            </w:r>
          </w:p>
        </w:tc>
        <w:tc>
          <w:tcPr>
            <w:tcW w:w="1711" w:type="dxa"/>
            <w:vAlign w:val="center"/>
          </w:tcPr>
          <w:p w14:paraId="21FE7A01">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视频会议系统服务端核心设备维护</w:t>
            </w:r>
          </w:p>
        </w:tc>
        <w:tc>
          <w:tcPr>
            <w:tcW w:w="2990" w:type="dxa"/>
            <w:vAlign w:val="center"/>
          </w:tcPr>
          <w:p w14:paraId="26C1ADBD">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视频会议系统服务端核心设备的维护与使用授权。</w:t>
            </w:r>
          </w:p>
        </w:tc>
        <w:tc>
          <w:tcPr>
            <w:tcW w:w="3506" w:type="dxa"/>
            <w:vAlign w:val="center"/>
          </w:tcPr>
          <w:p w14:paraId="1935BEBC">
            <w:pPr>
              <w:pStyle w:val="15"/>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视频会议系统服务端核心设备需配备与华为金牌服务等级相当（或更优）的运维服务，包括Help</w:t>
            </w:r>
            <w:r>
              <w:rPr>
                <w:rFonts w:ascii="仿宋" w:hAnsi="仿宋" w:eastAsia="仿宋" w:cs="宋体"/>
                <w:color w:val="000000"/>
                <w:kern w:val="0"/>
                <w:sz w:val="24"/>
              </w:rPr>
              <w:t xml:space="preserve"> </w:t>
            </w:r>
            <w:r>
              <w:rPr>
                <w:rFonts w:hint="eastAsia" w:ascii="仿宋" w:hAnsi="仿宋" w:eastAsia="仿宋" w:cs="宋体"/>
                <w:color w:val="000000"/>
                <w:kern w:val="0"/>
                <w:sz w:val="24"/>
              </w:rPr>
              <w:t>Desk、智能报障、远程问题处理、在线技术支持、软件更新授权、备件先行、现场工程师硬件更换、现场问题处理、设备健康检查和服务支持计划与报告等服务。</w:t>
            </w:r>
          </w:p>
          <w:p w14:paraId="62F5E7DB">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视频会议系统增值服务需采购使用授权。</w:t>
            </w:r>
          </w:p>
        </w:tc>
      </w:tr>
      <w:tr w14:paraId="5336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8" w:type="dxa"/>
            <w:vAlign w:val="center"/>
          </w:tcPr>
          <w:p w14:paraId="102D0304">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2</w:t>
            </w:r>
          </w:p>
        </w:tc>
        <w:tc>
          <w:tcPr>
            <w:tcW w:w="1711" w:type="dxa"/>
            <w:vAlign w:val="center"/>
          </w:tcPr>
          <w:p w14:paraId="1356741C">
            <w:pPr>
              <w:pStyle w:val="15"/>
              <w:spacing w:line="360" w:lineRule="auto"/>
              <w:rPr>
                <w:rStyle w:val="16"/>
                <w:rFonts w:hint="eastAsia" w:ascii="仿宋" w:hAnsi="仿宋" w:eastAsia="仿宋"/>
                <w:color w:val="000000"/>
                <w:sz w:val="24"/>
              </w:rPr>
            </w:pPr>
            <w:r>
              <w:rPr>
                <w:rStyle w:val="16"/>
                <w:rFonts w:hint="eastAsia" w:ascii="仿宋" w:hAnsi="仿宋" w:eastAsia="仿宋"/>
                <w:color w:val="000000"/>
                <w:sz w:val="24"/>
              </w:rPr>
              <w:t>L</w:t>
            </w:r>
            <w:r>
              <w:rPr>
                <w:rStyle w:val="16"/>
                <w:rFonts w:ascii="仿宋" w:hAnsi="仿宋" w:eastAsia="仿宋"/>
                <w:color w:val="000000"/>
                <w:sz w:val="24"/>
              </w:rPr>
              <w:t>ED屏维护</w:t>
            </w:r>
          </w:p>
        </w:tc>
        <w:tc>
          <w:tcPr>
            <w:tcW w:w="2990" w:type="dxa"/>
            <w:vAlign w:val="center"/>
          </w:tcPr>
          <w:p w14:paraId="36447205">
            <w:pPr>
              <w:pStyle w:val="15"/>
              <w:spacing w:line="360" w:lineRule="auto"/>
              <w:rPr>
                <w:rStyle w:val="16"/>
                <w:rFonts w:hint="eastAsia" w:ascii="仿宋" w:hAnsi="仿宋" w:eastAsia="仿宋"/>
                <w:color w:val="000000"/>
                <w:sz w:val="24"/>
              </w:rPr>
            </w:pPr>
            <w:r>
              <w:rPr>
                <w:rStyle w:val="16"/>
                <w:rFonts w:hint="eastAsia" w:ascii="仿宋" w:hAnsi="仿宋" w:eastAsia="仿宋"/>
                <w:color w:val="000000"/>
                <w:sz w:val="24"/>
              </w:rPr>
              <w:t>L</w:t>
            </w:r>
            <w:r>
              <w:rPr>
                <w:rStyle w:val="16"/>
                <w:rFonts w:ascii="仿宋" w:hAnsi="仿宋" w:eastAsia="仿宋"/>
                <w:color w:val="000000"/>
                <w:sz w:val="24"/>
              </w:rPr>
              <w:t>ED屏的维护</w:t>
            </w:r>
          </w:p>
        </w:tc>
        <w:tc>
          <w:tcPr>
            <w:tcW w:w="3506" w:type="dxa"/>
            <w:vAlign w:val="center"/>
          </w:tcPr>
          <w:p w14:paraId="7E194148">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市府办公厅礼堂等</w:t>
            </w:r>
            <w:r>
              <w:rPr>
                <w:rFonts w:ascii="仿宋" w:hAnsi="仿宋" w:eastAsia="仿宋" w:cs="宋体"/>
                <w:color w:val="000000"/>
                <w:kern w:val="0"/>
                <w:sz w:val="24"/>
              </w:rPr>
              <w:t>10</w:t>
            </w:r>
            <w:r>
              <w:rPr>
                <w:rFonts w:hint="eastAsia" w:ascii="仿宋" w:hAnsi="仿宋" w:eastAsia="仿宋" w:cs="宋体"/>
                <w:color w:val="000000"/>
                <w:kern w:val="0"/>
                <w:sz w:val="24"/>
              </w:rPr>
              <w:t>个会议室配置的LED屏的定期巡检、故障检测与维修等</w:t>
            </w:r>
          </w:p>
        </w:tc>
      </w:tr>
      <w:tr w14:paraId="61FE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8" w:type="dxa"/>
            <w:vAlign w:val="center"/>
          </w:tcPr>
          <w:p w14:paraId="55F6CDDD">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3</w:t>
            </w:r>
          </w:p>
        </w:tc>
        <w:tc>
          <w:tcPr>
            <w:tcW w:w="1711" w:type="dxa"/>
            <w:vAlign w:val="center"/>
          </w:tcPr>
          <w:p w14:paraId="2FB98523">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信息系统运维服务</w:t>
            </w:r>
          </w:p>
        </w:tc>
        <w:tc>
          <w:tcPr>
            <w:tcW w:w="2990" w:type="dxa"/>
            <w:vAlign w:val="center"/>
          </w:tcPr>
          <w:p w14:paraId="617F20AB">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对</w:t>
            </w:r>
            <w:r>
              <w:rPr>
                <w:rFonts w:hint="eastAsia" w:ascii="仿宋" w:hAnsi="仿宋" w:eastAsia="仿宋"/>
                <w:sz w:val="24"/>
              </w:rPr>
              <w:t>市政府智慧大院预约报账管理系统、广州市政府值班值守系统和广东省预算单位财务管理系统广州市分级系统</w:t>
            </w:r>
            <w:r>
              <w:rPr>
                <w:rFonts w:hint="eastAsia" w:ascii="仿宋" w:hAnsi="仿宋" w:eastAsia="仿宋" w:cs="宋体"/>
                <w:color w:val="000000"/>
                <w:kern w:val="0"/>
                <w:sz w:val="24"/>
              </w:rPr>
              <w:t>及配套软硬件提供维护服务。</w:t>
            </w:r>
          </w:p>
        </w:tc>
        <w:tc>
          <w:tcPr>
            <w:tcW w:w="3506" w:type="dxa"/>
            <w:vAlign w:val="center"/>
          </w:tcPr>
          <w:p w14:paraId="70907B6E">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　</w:t>
            </w:r>
          </w:p>
        </w:tc>
      </w:tr>
      <w:tr w14:paraId="0BEB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8" w:type="dxa"/>
            <w:vAlign w:val="center"/>
          </w:tcPr>
          <w:p w14:paraId="7202484C">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4</w:t>
            </w:r>
          </w:p>
        </w:tc>
        <w:tc>
          <w:tcPr>
            <w:tcW w:w="1711" w:type="dxa"/>
            <w:vAlign w:val="center"/>
          </w:tcPr>
          <w:p w14:paraId="6A93BA5E">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网络安全服务</w:t>
            </w:r>
          </w:p>
        </w:tc>
        <w:tc>
          <w:tcPr>
            <w:tcW w:w="2990" w:type="dxa"/>
            <w:vAlign w:val="center"/>
          </w:tcPr>
          <w:p w14:paraId="6FEAD7E6">
            <w:pPr>
              <w:pStyle w:val="15"/>
              <w:spacing w:line="360" w:lineRule="auto"/>
              <w:rPr>
                <w:rStyle w:val="16"/>
                <w:rFonts w:hint="eastAsia" w:ascii="仿宋" w:hAnsi="仿宋" w:eastAsia="仿宋"/>
                <w:color w:val="000000"/>
                <w:sz w:val="24"/>
              </w:rPr>
            </w:pPr>
            <w:r>
              <w:rPr>
                <w:rFonts w:hint="eastAsia" w:ascii="仿宋" w:hAnsi="仿宋" w:eastAsia="仿宋" w:cs="宋体"/>
                <w:color w:val="000000"/>
                <w:kern w:val="0"/>
                <w:sz w:val="24"/>
              </w:rPr>
              <w:t>包括数据安全风险评估服务、等级保护测评服务、商用密码应用测评服务及</w:t>
            </w:r>
            <w:r>
              <w:rPr>
                <w:rStyle w:val="16"/>
                <w:rFonts w:hint="eastAsia" w:ascii="仿宋" w:hAnsi="仿宋" w:eastAsia="仿宋"/>
                <w:color w:val="000000"/>
                <w:sz w:val="24"/>
              </w:rPr>
              <w:t>国密SSL证书、国际标准SSL证书、CA证书、安全虚拟云桌面的授权服务</w:t>
            </w:r>
            <w:r>
              <w:rPr>
                <w:rFonts w:hint="eastAsia" w:ascii="仿宋" w:hAnsi="仿宋" w:eastAsia="仿宋" w:cs="宋体"/>
                <w:color w:val="000000"/>
                <w:kern w:val="0"/>
                <w:sz w:val="24"/>
              </w:rPr>
              <w:t>等。</w:t>
            </w:r>
          </w:p>
        </w:tc>
        <w:tc>
          <w:tcPr>
            <w:tcW w:w="3506" w:type="dxa"/>
            <w:vAlign w:val="center"/>
          </w:tcPr>
          <w:p w14:paraId="0EE3DD3D">
            <w:pPr>
              <w:pStyle w:val="15"/>
              <w:spacing w:line="360" w:lineRule="auto"/>
              <w:rPr>
                <w:rStyle w:val="16"/>
                <w:rFonts w:hint="eastAsia" w:ascii="仿宋" w:hAnsi="仿宋" w:eastAsia="仿宋"/>
                <w:color w:val="000000"/>
                <w:sz w:val="24"/>
              </w:rPr>
            </w:pPr>
            <w:r>
              <w:rPr>
                <w:rStyle w:val="16"/>
                <w:rFonts w:hint="eastAsia" w:ascii="仿宋" w:hAnsi="仿宋" w:eastAsia="仿宋"/>
                <w:color w:val="000000"/>
                <w:sz w:val="24"/>
              </w:rPr>
              <w:t>4个系统进行二级等级保护测评服务、2个系统进行三级等级保护测评服务、2个系统进行三级商用密码应用测评。</w:t>
            </w:r>
          </w:p>
        </w:tc>
      </w:tr>
    </w:tbl>
    <w:p w14:paraId="4EE6287F">
      <w:pPr>
        <w:pStyle w:val="15"/>
        <w:spacing w:line="360" w:lineRule="auto"/>
        <w:ind w:firstLine="480" w:firstLineChars="200"/>
        <w:rPr>
          <w:rStyle w:val="16"/>
          <w:rFonts w:hint="eastAsia" w:ascii="仿宋" w:hAnsi="仿宋" w:eastAsia="仿宋" w:cs="宋体"/>
          <w:color w:val="000000"/>
          <w:sz w:val="24"/>
        </w:rPr>
      </w:pPr>
    </w:p>
    <w:p w14:paraId="2E9CC37F">
      <w:pPr>
        <w:pStyle w:val="2"/>
        <w:spacing w:before="156" w:after="156" w:line="240" w:lineRule="auto"/>
        <w:rPr>
          <w:rFonts w:hint="eastAsia" w:ascii="仿宋" w:hAnsi="仿宋" w:eastAsia="仿宋"/>
          <w:szCs w:val="24"/>
        </w:rPr>
      </w:pPr>
      <w:r>
        <w:rPr>
          <w:rFonts w:hint="eastAsia" w:ascii="仿宋" w:hAnsi="仿宋" w:eastAsia="仿宋"/>
          <w:szCs w:val="24"/>
        </w:rPr>
        <w:t>项目需求描述</w:t>
      </w:r>
    </w:p>
    <w:p w14:paraId="77E1FF4E">
      <w:pPr>
        <w:pStyle w:val="3"/>
        <w:spacing w:before="156" w:after="156"/>
        <w:jc w:val="both"/>
        <w:rPr>
          <w:rFonts w:hint="eastAsia" w:ascii="仿宋" w:hAnsi="仿宋" w:eastAsia="仿宋" w:cs="宋体"/>
          <w:szCs w:val="24"/>
        </w:rPr>
      </w:pPr>
      <w:r>
        <w:rPr>
          <w:rFonts w:hint="eastAsia" w:ascii="仿宋" w:hAnsi="仿宋" w:eastAsia="仿宋" w:cs="宋体"/>
          <w:szCs w:val="24"/>
        </w:rPr>
        <w:t>项目需求</w:t>
      </w:r>
    </w:p>
    <w:p w14:paraId="1BF27AC6">
      <w:pPr>
        <w:pStyle w:val="4"/>
        <w:snapToGrid w:val="0"/>
        <w:spacing w:before="156" w:after="156"/>
        <w:rPr>
          <w:rFonts w:hint="eastAsia" w:ascii="仿宋" w:hAnsi="仿宋" w:eastAsia="仿宋" w:cs="宋体"/>
          <w:szCs w:val="24"/>
        </w:rPr>
      </w:pPr>
      <w:r>
        <w:rPr>
          <w:rFonts w:hint="eastAsia" w:ascii="仿宋" w:hAnsi="仿宋" w:eastAsia="仿宋" w:cs="宋体"/>
          <w:szCs w:val="24"/>
        </w:rPr>
        <w:t>概述</w:t>
      </w:r>
    </w:p>
    <w:p w14:paraId="6AA56F9F">
      <w:pPr>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本项目旨在为广州市人民政府办公厅提供为期一年的信息化运维服务（与上一运维周期无缝衔接）。项目将基于ITIL服务管理理念，构建规范化、智能化的运维管理体系，通过主动预防与快速响应相结合的服务模式，提供7×24小时全天候、高标准的信息化运维保障。重点确保政务信息系统安全稳定运行，提升系统可用性与服务连续性，为办公厅政务业务开展提供坚实的技术支撑。</w:t>
      </w:r>
    </w:p>
    <w:p w14:paraId="2DBE0E82">
      <w:pPr>
        <w:pStyle w:val="4"/>
        <w:spacing w:before="156" w:after="156"/>
        <w:ind w:left="0" w:firstLine="0"/>
        <w:rPr>
          <w:rFonts w:hint="eastAsia" w:ascii="仿宋" w:hAnsi="仿宋" w:eastAsia="仿宋" w:cs="宋体"/>
          <w:szCs w:val="24"/>
        </w:rPr>
      </w:pPr>
      <w:bookmarkStart w:id="0" w:name="_Toc190266936"/>
      <w:r>
        <w:rPr>
          <w:rFonts w:hint="eastAsia" w:ascii="仿宋" w:hAnsi="仿宋" w:eastAsia="仿宋" w:cs="宋体"/>
          <w:szCs w:val="24"/>
        </w:rPr>
        <w:t>政务信息化基础设施运维服务</w:t>
      </w:r>
      <w:bookmarkEnd w:id="0"/>
    </w:p>
    <w:p w14:paraId="6A24B637">
      <w:pPr>
        <w:spacing w:line="360" w:lineRule="auto"/>
        <w:ind w:firstLine="480"/>
        <w:rPr>
          <w:rFonts w:hint="eastAsia" w:ascii="仿宋" w:hAnsi="仿宋" w:eastAsia="仿宋" w:cs="宋体"/>
          <w:sz w:val="24"/>
        </w:rPr>
      </w:pPr>
      <w:r>
        <w:rPr>
          <w:rFonts w:hint="eastAsia" w:ascii="仿宋" w:hAnsi="仿宋" w:eastAsia="仿宋" w:cs="宋体"/>
          <w:sz w:val="24"/>
        </w:rPr>
        <w:t>本单位大部分政务信息化基础设施设备已</w:t>
      </w:r>
      <w:r>
        <w:rPr>
          <w:rFonts w:ascii="仿宋" w:hAnsi="仿宋" w:eastAsia="仿宋" w:cs="宋体"/>
          <w:sz w:val="24"/>
        </w:rPr>
        <w:t>纳入</w:t>
      </w:r>
      <w:r>
        <w:rPr>
          <w:rFonts w:hint="eastAsia" w:ascii="仿宋" w:hAnsi="仿宋" w:eastAsia="仿宋" w:cs="宋体"/>
          <w:sz w:val="24"/>
        </w:rPr>
        <w:t>信息基础设施统一运维服务，部分未纳入统一运维服务的设备，主要包括视频会议系统服务端核心设备与增值服务、L</w:t>
      </w:r>
      <w:r>
        <w:rPr>
          <w:rFonts w:ascii="仿宋" w:hAnsi="仿宋" w:eastAsia="仿宋" w:cs="宋体"/>
          <w:sz w:val="24"/>
        </w:rPr>
        <w:t>ED屏等</w:t>
      </w:r>
      <w:r>
        <w:rPr>
          <w:rFonts w:hint="eastAsia" w:ascii="仿宋" w:hAnsi="仿宋" w:eastAsia="仿宋" w:cs="宋体"/>
          <w:sz w:val="24"/>
        </w:rPr>
        <w:t>，在本项目采购维护相关服务。</w:t>
      </w:r>
    </w:p>
    <w:p w14:paraId="515C2181">
      <w:pPr>
        <w:pStyle w:val="5"/>
        <w:rPr>
          <w:rFonts w:hint="eastAsia" w:ascii="仿宋" w:hAnsi="仿宋" w:eastAsia="仿宋" w:cs="宋体"/>
          <w:sz w:val="24"/>
        </w:rPr>
      </w:pPr>
      <w:r>
        <w:rPr>
          <w:rFonts w:hint="eastAsia" w:ascii="仿宋" w:hAnsi="仿宋" w:eastAsia="仿宋" w:cs="宋体"/>
          <w:sz w:val="24"/>
        </w:rPr>
        <w:t>视频会议系统服务端核心设备维护</w:t>
      </w:r>
    </w:p>
    <w:p w14:paraId="62A51615">
      <w:pPr>
        <w:pStyle w:val="6"/>
        <w:rPr>
          <w:rFonts w:hint="eastAsia" w:ascii="仿宋" w:hAnsi="仿宋" w:eastAsia="仿宋" w:cs="宋体"/>
          <w:sz w:val="24"/>
        </w:rPr>
      </w:pPr>
      <w:r>
        <w:rPr>
          <w:rFonts w:hint="eastAsia" w:ascii="仿宋" w:hAnsi="仿宋" w:eastAsia="仿宋" w:cs="宋体"/>
          <w:sz w:val="24"/>
        </w:rPr>
        <w:t>视频会议使用现状</w:t>
      </w:r>
    </w:p>
    <w:p w14:paraId="7C65E1C5">
      <w:pPr>
        <w:spacing w:line="360" w:lineRule="auto"/>
        <w:ind w:firstLine="480"/>
        <w:rPr>
          <w:rFonts w:hint="eastAsia" w:ascii="仿宋" w:hAnsi="仿宋" w:eastAsia="仿宋" w:cs="宋体"/>
          <w:sz w:val="24"/>
        </w:rPr>
      </w:pPr>
      <w:r>
        <w:rPr>
          <w:rFonts w:hint="eastAsia" w:ascii="仿宋" w:hAnsi="仿宋" w:eastAsia="仿宋" w:cs="宋体"/>
          <w:sz w:val="24"/>
        </w:rPr>
        <w:t>广州市视频会议系统部署在广州市视频会议专网，覆盖了市委办公厅、市政府办公厅、11个区、市政府组成部门以及部分市直单位（约40余个单位）。该系统主要用于市委、市政府与各区及各部门之间的视频会议，是市委和市政府召开会议的重要手段。历年年度视频会议次数均超过</w:t>
      </w:r>
      <w:r>
        <w:rPr>
          <w:rFonts w:ascii="仿宋" w:hAnsi="仿宋" w:eastAsia="仿宋" w:cs="宋体"/>
          <w:sz w:val="24"/>
        </w:rPr>
        <w:t>4</w:t>
      </w:r>
      <w:r>
        <w:rPr>
          <w:rFonts w:hint="eastAsia" w:ascii="仿宋" w:hAnsi="仿宋" w:eastAsia="仿宋" w:cs="宋体"/>
          <w:sz w:val="24"/>
        </w:rPr>
        <w:t>00场，疫情期间甚至突破了2</w:t>
      </w:r>
      <w:r>
        <w:rPr>
          <w:rFonts w:ascii="仿宋" w:hAnsi="仿宋" w:eastAsia="仿宋" w:cs="宋体"/>
          <w:sz w:val="24"/>
        </w:rPr>
        <w:t>0</w:t>
      </w:r>
      <w:r>
        <w:rPr>
          <w:rFonts w:hint="eastAsia" w:ascii="仿宋" w:hAnsi="仿宋" w:eastAsia="仿宋" w:cs="宋体"/>
          <w:sz w:val="24"/>
        </w:rPr>
        <w:t>00场。系统采用了华为品牌的视频会议设备，登记及注册的视频会议终端数量超过300台。核心平台实现了全热备（VP9860MCU和SMC&amp;SC），能够全年7*24小时持续提供服务并保持稳定运行。</w:t>
      </w:r>
    </w:p>
    <w:p w14:paraId="494E2B72">
      <w:pPr>
        <w:pStyle w:val="6"/>
        <w:rPr>
          <w:rFonts w:hint="eastAsia" w:ascii="仿宋" w:hAnsi="仿宋" w:eastAsia="仿宋" w:cs="宋体"/>
          <w:sz w:val="24"/>
        </w:rPr>
      </w:pPr>
      <w:r>
        <w:rPr>
          <w:rFonts w:hint="eastAsia" w:ascii="仿宋" w:hAnsi="仿宋" w:eastAsia="仿宋" w:cs="宋体"/>
          <w:sz w:val="24"/>
        </w:rPr>
        <w:t>视频会议系统服务端核心设备</w:t>
      </w:r>
    </w:p>
    <w:p w14:paraId="417640D3">
      <w:pPr>
        <w:spacing w:line="360" w:lineRule="auto"/>
        <w:ind w:firstLine="480"/>
        <w:rPr>
          <w:rFonts w:hint="eastAsia" w:ascii="仿宋" w:hAnsi="仿宋" w:eastAsia="仿宋" w:cs="宋体"/>
          <w:sz w:val="24"/>
        </w:rPr>
      </w:pPr>
      <w:r>
        <w:rPr>
          <w:rFonts w:hint="eastAsia" w:ascii="仿宋" w:hAnsi="仿宋" w:eastAsia="仿宋" w:cs="宋体"/>
          <w:sz w:val="24"/>
        </w:rPr>
        <w:t>视频会议系统服务端核心设备需配备与华为金牌服务等级相当（或更优）的运维服务。视频会议系统服务端核心设备包括：</w:t>
      </w:r>
    </w:p>
    <w:p w14:paraId="36228BFD">
      <w:pPr>
        <w:jc w:val="center"/>
        <w:rPr>
          <w:rFonts w:hint="eastAsia" w:ascii="仿宋" w:hAnsi="仿宋" w:eastAsia="仿宋"/>
        </w:rPr>
      </w:pPr>
      <w:r>
        <w:rPr>
          <w:rFonts w:hint="eastAsia" w:ascii="仿宋" w:hAnsi="仿宋" w:eastAsia="仿宋"/>
        </w:rPr>
        <w:t>表</w:t>
      </w:r>
      <w:r>
        <w:rPr>
          <w:rFonts w:ascii="仿宋" w:hAnsi="仿宋" w:eastAsia="仿宋"/>
        </w:rPr>
        <w:t>2</w:t>
      </w:r>
      <w:r>
        <w:rPr>
          <w:rFonts w:hint="eastAsia" w:ascii="仿宋" w:hAnsi="仿宋" w:eastAsia="仿宋"/>
        </w:rPr>
        <w:t>.</w:t>
      </w:r>
      <w:r>
        <w:rPr>
          <w:rFonts w:ascii="仿宋" w:hAnsi="仿宋" w:eastAsia="仿宋"/>
        </w:rPr>
        <w:t>1</w:t>
      </w:r>
      <w:r>
        <w:rPr>
          <w:rFonts w:hint="eastAsia" w:ascii="仿宋" w:hAnsi="仿宋" w:eastAsia="仿宋"/>
        </w:rPr>
        <w:t xml:space="preserve">  视频会议系统服务端核心设备</w:t>
      </w:r>
    </w:p>
    <w:tbl>
      <w:tblPr>
        <w:tblStyle w:val="10"/>
        <w:tblW w:w="4892" w:type="pct"/>
        <w:tblInd w:w="0" w:type="dxa"/>
        <w:tblLayout w:type="fixed"/>
        <w:tblCellMar>
          <w:top w:w="0" w:type="dxa"/>
          <w:left w:w="108" w:type="dxa"/>
          <w:bottom w:w="0" w:type="dxa"/>
          <w:right w:w="108" w:type="dxa"/>
        </w:tblCellMar>
      </w:tblPr>
      <w:tblGrid>
        <w:gridCol w:w="723"/>
        <w:gridCol w:w="1164"/>
        <w:gridCol w:w="4513"/>
        <w:gridCol w:w="729"/>
        <w:gridCol w:w="1209"/>
      </w:tblGrid>
      <w:tr w14:paraId="35212ED5">
        <w:tblPrEx>
          <w:tblCellMar>
            <w:top w:w="0" w:type="dxa"/>
            <w:left w:w="108" w:type="dxa"/>
            <w:bottom w:w="0" w:type="dxa"/>
            <w:right w:w="108" w:type="dxa"/>
          </w:tblCellMar>
        </w:tblPrEx>
        <w:trPr>
          <w:trHeight w:val="348" w:hRule="atLeast"/>
        </w:trPr>
        <w:tc>
          <w:tcPr>
            <w:tcW w:w="434" w:type="pct"/>
            <w:tcBorders>
              <w:top w:val="single" w:color="auto" w:sz="4" w:space="0"/>
              <w:left w:val="single" w:color="auto" w:sz="4" w:space="0"/>
              <w:bottom w:val="single" w:color="auto" w:sz="4" w:space="0"/>
              <w:right w:val="single" w:color="auto" w:sz="4" w:space="0"/>
            </w:tcBorders>
            <w:noWrap/>
            <w:vAlign w:val="center"/>
          </w:tcPr>
          <w:p w14:paraId="47B2B3B0">
            <w:pPr>
              <w:widowControl/>
              <w:jc w:val="center"/>
              <w:rPr>
                <w:rFonts w:hint="eastAsia" w:ascii="仿宋" w:hAnsi="仿宋" w:eastAsia="仿宋" w:cs="宋体"/>
                <w:b/>
                <w:bCs/>
                <w:kern w:val="0"/>
                <w:szCs w:val="21"/>
              </w:rPr>
            </w:pPr>
            <w:r>
              <w:rPr>
                <w:rFonts w:hint="eastAsia" w:ascii="仿宋" w:hAnsi="仿宋" w:eastAsia="仿宋" w:cs="宋体"/>
                <w:b/>
                <w:bCs/>
                <w:kern w:val="0"/>
                <w:szCs w:val="21"/>
              </w:rPr>
              <w:t>序号</w:t>
            </w:r>
          </w:p>
        </w:tc>
        <w:tc>
          <w:tcPr>
            <w:tcW w:w="698" w:type="pct"/>
            <w:tcBorders>
              <w:top w:val="single" w:color="auto" w:sz="4" w:space="0"/>
              <w:left w:val="nil"/>
              <w:bottom w:val="single" w:color="auto" w:sz="4" w:space="0"/>
              <w:right w:val="single" w:color="auto" w:sz="4" w:space="0"/>
            </w:tcBorders>
            <w:noWrap/>
            <w:vAlign w:val="center"/>
          </w:tcPr>
          <w:p w14:paraId="05E4525C">
            <w:pPr>
              <w:widowControl/>
              <w:jc w:val="center"/>
              <w:rPr>
                <w:rFonts w:hint="eastAsia" w:ascii="仿宋" w:hAnsi="仿宋" w:eastAsia="仿宋" w:cs="宋体"/>
                <w:b/>
                <w:bCs/>
                <w:kern w:val="0"/>
                <w:szCs w:val="21"/>
              </w:rPr>
            </w:pPr>
            <w:r>
              <w:rPr>
                <w:rFonts w:hint="eastAsia" w:ascii="仿宋" w:hAnsi="仿宋" w:eastAsia="仿宋" w:cs="宋体"/>
                <w:b/>
                <w:bCs/>
                <w:kern w:val="0"/>
                <w:szCs w:val="21"/>
              </w:rPr>
              <w:t>产品型号</w:t>
            </w:r>
          </w:p>
        </w:tc>
        <w:tc>
          <w:tcPr>
            <w:tcW w:w="2706" w:type="pct"/>
            <w:tcBorders>
              <w:top w:val="single" w:color="auto" w:sz="4" w:space="0"/>
              <w:left w:val="nil"/>
              <w:bottom w:val="single" w:color="auto" w:sz="4" w:space="0"/>
              <w:right w:val="single" w:color="auto" w:sz="4" w:space="0"/>
            </w:tcBorders>
            <w:noWrap/>
            <w:vAlign w:val="center"/>
          </w:tcPr>
          <w:p w14:paraId="0B1BBF5F">
            <w:pPr>
              <w:widowControl/>
              <w:jc w:val="center"/>
              <w:rPr>
                <w:rFonts w:hint="eastAsia" w:ascii="仿宋" w:hAnsi="仿宋" w:eastAsia="仿宋" w:cs="宋体"/>
                <w:b/>
                <w:bCs/>
                <w:kern w:val="0"/>
                <w:szCs w:val="21"/>
              </w:rPr>
            </w:pPr>
            <w:r>
              <w:rPr>
                <w:rFonts w:hint="eastAsia" w:ascii="仿宋" w:hAnsi="仿宋" w:eastAsia="仿宋" w:cs="宋体"/>
                <w:b/>
                <w:bCs/>
                <w:kern w:val="0"/>
                <w:szCs w:val="21"/>
              </w:rPr>
              <w:t>用途描述</w:t>
            </w:r>
          </w:p>
        </w:tc>
        <w:tc>
          <w:tcPr>
            <w:tcW w:w="437" w:type="pct"/>
            <w:tcBorders>
              <w:top w:val="single" w:color="auto" w:sz="4" w:space="0"/>
              <w:left w:val="nil"/>
              <w:bottom w:val="single" w:color="auto" w:sz="4" w:space="0"/>
              <w:right w:val="single" w:color="auto" w:sz="4" w:space="0"/>
            </w:tcBorders>
          </w:tcPr>
          <w:p w14:paraId="0F0D383A">
            <w:pPr>
              <w:widowControl/>
              <w:jc w:val="center"/>
              <w:rPr>
                <w:rFonts w:hint="eastAsia" w:ascii="仿宋" w:hAnsi="仿宋" w:eastAsia="仿宋" w:cs="宋体"/>
                <w:b/>
                <w:bCs/>
                <w:kern w:val="0"/>
                <w:szCs w:val="21"/>
              </w:rPr>
            </w:pPr>
            <w:r>
              <w:rPr>
                <w:rFonts w:hint="eastAsia" w:ascii="仿宋" w:hAnsi="仿宋" w:eastAsia="仿宋" w:cs="宋体"/>
                <w:b/>
                <w:bCs/>
                <w:kern w:val="0"/>
                <w:szCs w:val="21"/>
              </w:rPr>
              <w:t>数量</w:t>
            </w:r>
          </w:p>
        </w:tc>
        <w:tc>
          <w:tcPr>
            <w:tcW w:w="725" w:type="pct"/>
            <w:tcBorders>
              <w:top w:val="single" w:color="auto" w:sz="4" w:space="0"/>
              <w:left w:val="nil"/>
              <w:bottom w:val="single" w:color="auto" w:sz="4" w:space="0"/>
              <w:right w:val="single" w:color="auto" w:sz="4" w:space="0"/>
            </w:tcBorders>
          </w:tcPr>
          <w:p w14:paraId="325DDD8F">
            <w:pPr>
              <w:widowControl/>
              <w:jc w:val="center"/>
              <w:rPr>
                <w:rFonts w:hint="eastAsia" w:ascii="仿宋" w:hAnsi="仿宋" w:eastAsia="仿宋" w:cs="宋体"/>
                <w:b/>
                <w:bCs/>
                <w:kern w:val="0"/>
                <w:szCs w:val="21"/>
              </w:rPr>
            </w:pPr>
            <w:r>
              <w:rPr>
                <w:rFonts w:hint="eastAsia" w:ascii="仿宋" w:hAnsi="仿宋" w:eastAsia="仿宋" w:cs="宋体"/>
                <w:b/>
                <w:bCs/>
                <w:kern w:val="0"/>
                <w:szCs w:val="21"/>
              </w:rPr>
              <w:t>运维内容</w:t>
            </w:r>
          </w:p>
        </w:tc>
      </w:tr>
      <w:tr w14:paraId="41C9FA62">
        <w:tblPrEx>
          <w:tblCellMar>
            <w:top w:w="0" w:type="dxa"/>
            <w:left w:w="108" w:type="dxa"/>
            <w:bottom w:w="0" w:type="dxa"/>
            <w:right w:w="108" w:type="dxa"/>
          </w:tblCellMar>
        </w:tblPrEx>
        <w:trPr>
          <w:trHeight w:val="312" w:hRule="atLeast"/>
        </w:trPr>
        <w:tc>
          <w:tcPr>
            <w:tcW w:w="434" w:type="pct"/>
            <w:tcBorders>
              <w:top w:val="nil"/>
              <w:left w:val="single" w:color="auto" w:sz="4" w:space="0"/>
              <w:bottom w:val="single" w:color="auto" w:sz="4" w:space="0"/>
              <w:right w:val="single" w:color="auto" w:sz="4" w:space="0"/>
            </w:tcBorders>
            <w:noWrap/>
            <w:vAlign w:val="center"/>
          </w:tcPr>
          <w:p w14:paraId="008F6CC2">
            <w:pPr>
              <w:widowControl/>
              <w:jc w:val="center"/>
              <w:rPr>
                <w:rFonts w:hint="eastAsia" w:ascii="仿宋" w:hAnsi="仿宋" w:eastAsia="仿宋" w:cs="宋体"/>
                <w:kern w:val="0"/>
                <w:szCs w:val="21"/>
              </w:rPr>
            </w:pPr>
            <w:r>
              <w:rPr>
                <w:rFonts w:ascii="仿宋" w:hAnsi="仿宋" w:eastAsia="仿宋" w:cs="宋体"/>
                <w:kern w:val="0"/>
                <w:szCs w:val="21"/>
              </w:rPr>
              <w:t>1</w:t>
            </w:r>
          </w:p>
        </w:tc>
        <w:tc>
          <w:tcPr>
            <w:tcW w:w="698" w:type="pct"/>
            <w:tcBorders>
              <w:top w:val="nil"/>
              <w:left w:val="nil"/>
              <w:bottom w:val="single" w:color="auto" w:sz="4" w:space="0"/>
              <w:right w:val="single" w:color="auto" w:sz="4" w:space="0"/>
            </w:tcBorders>
            <w:noWrap/>
            <w:vAlign w:val="center"/>
          </w:tcPr>
          <w:p w14:paraId="3BBBD4AD">
            <w:pPr>
              <w:widowControl/>
              <w:jc w:val="center"/>
              <w:rPr>
                <w:rFonts w:hint="eastAsia" w:ascii="仿宋" w:hAnsi="仿宋" w:eastAsia="仿宋" w:cs="宋体"/>
                <w:kern w:val="0"/>
                <w:szCs w:val="21"/>
              </w:rPr>
            </w:pPr>
            <w:r>
              <w:rPr>
                <w:rFonts w:hint="eastAsia" w:ascii="仿宋" w:hAnsi="仿宋" w:eastAsia="仿宋" w:cs="宋体"/>
                <w:kern w:val="0"/>
                <w:szCs w:val="21"/>
              </w:rPr>
              <w:t>VP9860</w:t>
            </w:r>
          </w:p>
        </w:tc>
        <w:tc>
          <w:tcPr>
            <w:tcW w:w="2706" w:type="pct"/>
            <w:tcBorders>
              <w:top w:val="nil"/>
              <w:left w:val="nil"/>
              <w:bottom w:val="single" w:color="auto" w:sz="4" w:space="0"/>
              <w:right w:val="single" w:color="auto" w:sz="4" w:space="0"/>
            </w:tcBorders>
            <w:noWrap/>
            <w:vAlign w:val="center"/>
          </w:tcPr>
          <w:p w14:paraId="218B63F9">
            <w:pPr>
              <w:widowControl/>
              <w:jc w:val="left"/>
              <w:rPr>
                <w:rFonts w:hint="eastAsia" w:ascii="仿宋" w:hAnsi="仿宋" w:eastAsia="仿宋" w:cs="宋体"/>
                <w:kern w:val="0"/>
                <w:szCs w:val="21"/>
              </w:rPr>
            </w:pPr>
            <w:r>
              <w:rPr>
                <w:rFonts w:hint="eastAsia" w:ascii="仿宋" w:hAnsi="仿宋" w:eastAsia="仿宋" w:cs="宋体"/>
                <w:kern w:val="0"/>
                <w:szCs w:val="21"/>
              </w:rPr>
              <w:t>VP9860-VC6M3CUCC-VP9860整机(含8路1080P30端口license),交流</w:t>
            </w:r>
          </w:p>
        </w:tc>
        <w:tc>
          <w:tcPr>
            <w:tcW w:w="437" w:type="pct"/>
            <w:tcBorders>
              <w:top w:val="nil"/>
              <w:left w:val="nil"/>
              <w:bottom w:val="single" w:color="auto" w:sz="4" w:space="0"/>
              <w:right w:val="single" w:color="auto" w:sz="4" w:space="0"/>
            </w:tcBorders>
          </w:tcPr>
          <w:p w14:paraId="33679373">
            <w:pPr>
              <w:widowControl/>
              <w:jc w:val="center"/>
              <w:rPr>
                <w:rFonts w:hint="eastAsia" w:ascii="仿宋" w:hAnsi="仿宋" w:eastAsia="仿宋" w:cs="宋体"/>
                <w:kern w:val="0"/>
                <w:szCs w:val="21"/>
              </w:rPr>
            </w:pPr>
            <w:r>
              <w:rPr>
                <w:rFonts w:hint="eastAsia" w:ascii="仿宋" w:hAnsi="仿宋" w:eastAsia="仿宋" w:cs="宋体"/>
                <w:kern w:val="0"/>
                <w:szCs w:val="21"/>
              </w:rPr>
              <w:t>2</w:t>
            </w:r>
          </w:p>
        </w:tc>
        <w:tc>
          <w:tcPr>
            <w:tcW w:w="725" w:type="pct"/>
            <w:vMerge w:val="restart"/>
            <w:tcBorders>
              <w:top w:val="nil"/>
              <w:left w:val="nil"/>
              <w:right w:val="single" w:color="auto" w:sz="4" w:space="0"/>
            </w:tcBorders>
            <w:vAlign w:val="center"/>
          </w:tcPr>
          <w:p w14:paraId="429B446B">
            <w:pPr>
              <w:widowControl/>
              <w:jc w:val="center"/>
              <w:rPr>
                <w:rFonts w:hint="eastAsia" w:ascii="仿宋" w:hAnsi="仿宋" w:eastAsia="仿宋" w:cs="宋体"/>
                <w:kern w:val="0"/>
                <w:szCs w:val="21"/>
              </w:rPr>
            </w:pPr>
            <w:r>
              <w:rPr>
                <w:rFonts w:hint="eastAsia" w:ascii="仿宋" w:hAnsi="仿宋" w:eastAsia="仿宋" w:cs="宋体"/>
                <w:kern w:val="0"/>
                <w:szCs w:val="21"/>
              </w:rPr>
              <w:t>设备巡检</w:t>
            </w:r>
            <w:r>
              <w:rPr>
                <w:rFonts w:hint="eastAsia" w:ascii="仿宋" w:hAnsi="仿宋" w:eastAsia="仿宋" w:cs="宋体"/>
                <w:kern w:val="0"/>
                <w:szCs w:val="21"/>
              </w:rPr>
              <w:br w:type="textWrapping"/>
            </w:r>
            <w:r>
              <w:rPr>
                <w:rFonts w:hint="eastAsia" w:ascii="仿宋" w:hAnsi="仿宋" w:eastAsia="仿宋" w:cs="宋体"/>
                <w:kern w:val="0"/>
                <w:szCs w:val="21"/>
              </w:rPr>
              <w:t>故障设备维修</w:t>
            </w:r>
          </w:p>
        </w:tc>
      </w:tr>
      <w:tr w14:paraId="4A73DD12">
        <w:tblPrEx>
          <w:tblCellMar>
            <w:top w:w="0" w:type="dxa"/>
            <w:left w:w="108" w:type="dxa"/>
            <w:bottom w:w="0" w:type="dxa"/>
            <w:right w:w="108" w:type="dxa"/>
          </w:tblCellMar>
        </w:tblPrEx>
        <w:trPr>
          <w:trHeight w:val="312" w:hRule="atLeast"/>
        </w:trPr>
        <w:tc>
          <w:tcPr>
            <w:tcW w:w="434" w:type="pct"/>
            <w:tcBorders>
              <w:top w:val="nil"/>
              <w:left w:val="single" w:color="auto" w:sz="4" w:space="0"/>
              <w:bottom w:val="single" w:color="auto" w:sz="4" w:space="0"/>
              <w:right w:val="single" w:color="auto" w:sz="4" w:space="0"/>
            </w:tcBorders>
            <w:noWrap/>
            <w:vAlign w:val="center"/>
          </w:tcPr>
          <w:p w14:paraId="25E5FD15">
            <w:pPr>
              <w:widowControl/>
              <w:jc w:val="center"/>
              <w:rPr>
                <w:rFonts w:hint="eastAsia" w:ascii="仿宋" w:hAnsi="仿宋" w:eastAsia="仿宋" w:cs="宋体"/>
                <w:kern w:val="0"/>
                <w:szCs w:val="21"/>
              </w:rPr>
            </w:pPr>
            <w:r>
              <w:rPr>
                <w:rFonts w:ascii="仿宋" w:hAnsi="仿宋" w:eastAsia="仿宋" w:cs="宋体"/>
                <w:kern w:val="0"/>
                <w:szCs w:val="21"/>
              </w:rPr>
              <w:t>2</w:t>
            </w:r>
          </w:p>
        </w:tc>
        <w:tc>
          <w:tcPr>
            <w:tcW w:w="698" w:type="pct"/>
            <w:tcBorders>
              <w:top w:val="nil"/>
              <w:left w:val="nil"/>
              <w:bottom w:val="single" w:color="auto" w:sz="4" w:space="0"/>
              <w:right w:val="single" w:color="auto" w:sz="4" w:space="0"/>
            </w:tcBorders>
            <w:noWrap/>
            <w:vAlign w:val="center"/>
          </w:tcPr>
          <w:p w14:paraId="1371E575">
            <w:pPr>
              <w:widowControl/>
              <w:jc w:val="center"/>
              <w:rPr>
                <w:rFonts w:hint="eastAsia" w:ascii="仿宋" w:hAnsi="仿宋" w:eastAsia="仿宋" w:cs="宋体"/>
                <w:kern w:val="0"/>
                <w:szCs w:val="21"/>
              </w:rPr>
            </w:pPr>
            <w:r>
              <w:rPr>
                <w:rFonts w:hint="eastAsia" w:ascii="仿宋" w:hAnsi="仿宋" w:eastAsia="仿宋" w:cs="宋体"/>
                <w:kern w:val="0"/>
                <w:szCs w:val="21"/>
              </w:rPr>
              <w:t>SMC</w:t>
            </w:r>
          </w:p>
        </w:tc>
        <w:tc>
          <w:tcPr>
            <w:tcW w:w="2706" w:type="pct"/>
            <w:tcBorders>
              <w:top w:val="nil"/>
              <w:left w:val="nil"/>
              <w:bottom w:val="single" w:color="auto" w:sz="4" w:space="0"/>
              <w:right w:val="single" w:color="auto" w:sz="4" w:space="0"/>
            </w:tcBorders>
            <w:noWrap/>
            <w:vAlign w:val="center"/>
          </w:tcPr>
          <w:p w14:paraId="6FFDBD3A">
            <w:pPr>
              <w:widowControl/>
              <w:jc w:val="left"/>
              <w:rPr>
                <w:rFonts w:hint="eastAsia" w:ascii="仿宋" w:hAnsi="仿宋" w:eastAsia="仿宋" w:cs="宋体"/>
                <w:kern w:val="0"/>
                <w:szCs w:val="21"/>
              </w:rPr>
            </w:pPr>
            <w:r>
              <w:rPr>
                <w:rFonts w:hint="eastAsia" w:ascii="仿宋" w:hAnsi="仿宋" w:eastAsia="仿宋" w:cs="宋体"/>
                <w:kern w:val="0"/>
                <w:szCs w:val="21"/>
              </w:rPr>
              <w:t>SMC-SMCA-SMC基础整机-交流 (含50个硬终端管理+50个硬终端注册License)</w:t>
            </w:r>
          </w:p>
        </w:tc>
        <w:tc>
          <w:tcPr>
            <w:tcW w:w="437" w:type="pct"/>
            <w:tcBorders>
              <w:top w:val="nil"/>
              <w:left w:val="nil"/>
              <w:bottom w:val="single" w:color="auto" w:sz="4" w:space="0"/>
              <w:right w:val="single" w:color="auto" w:sz="4" w:space="0"/>
            </w:tcBorders>
          </w:tcPr>
          <w:p w14:paraId="1A56C98A">
            <w:pPr>
              <w:widowControl/>
              <w:jc w:val="center"/>
              <w:rPr>
                <w:rFonts w:hint="eastAsia" w:ascii="仿宋" w:hAnsi="仿宋" w:eastAsia="仿宋" w:cs="宋体"/>
                <w:kern w:val="0"/>
                <w:szCs w:val="21"/>
              </w:rPr>
            </w:pPr>
            <w:r>
              <w:rPr>
                <w:rFonts w:hint="eastAsia" w:ascii="仿宋" w:hAnsi="仿宋" w:eastAsia="仿宋" w:cs="宋体"/>
                <w:kern w:val="0"/>
                <w:szCs w:val="21"/>
              </w:rPr>
              <w:t>2</w:t>
            </w:r>
          </w:p>
        </w:tc>
        <w:tc>
          <w:tcPr>
            <w:tcW w:w="725" w:type="pct"/>
            <w:vMerge w:val="continue"/>
            <w:tcBorders>
              <w:left w:val="nil"/>
              <w:right w:val="single" w:color="auto" w:sz="4" w:space="0"/>
            </w:tcBorders>
          </w:tcPr>
          <w:p w14:paraId="33986802">
            <w:pPr>
              <w:widowControl/>
              <w:jc w:val="center"/>
              <w:rPr>
                <w:rFonts w:hint="eastAsia" w:ascii="仿宋" w:hAnsi="仿宋" w:eastAsia="仿宋" w:cs="宋体"/>
                <w:kern w:val="0"/>
                <w:szCs w:val="21"/>
              </w:rPr>
            </w:pPr>
          </w:p>
        </w:tc>
      </w:tr>
      <w:tr w14:paraId="5D517A83">
        <w:tblPrEx>
          <w:tblCellMar>
            <w:top w:w="0" w:type="dxa"/>
            <w:left w:w="108" w:type="dxa"/>
            <w:bottom w:w="0" w:type="dxa"/>
            <w:right w:w="108" w:type="dxa"/>
          </w:tblCellMar>
        </w:tblPrEx>
        <w:trPr>
          <w:trHeight w:val="312" w:hRule="atLeast"/>
        </w:trPr>
        <w:tc>
          <w:tcPr>
            <w:tcW w:w="434" w:type="pct"/>
            <w:tcBorders>
              <w:top w:val="nil"/>
              <w:left w:val="single" w:color="auto" w:sz="4" w:space="0"/>
              <w:bottom w:val="single" w:color="auto" w:sz="4" w:space="0"/>
              <w:right w:val="single" w:color="auto" w:sz="4" w:space="0"/>
            </w:tcBorders>
            <w:noWrap/>
            <w:vAlign w:val="center"/>
          </w:tcPr>
          <w:p w14:paraId="74B1CF0B">
            <w:pPr>
              <w:widowControl/>
              <w:jc w:val="center"/>
              <w:rPr>
                <w:rFonts w:hint="eastAsia" w:ascii="仿宋" w:hAnsi="仿宋" w:eastAsia="仿宋" w:cs="宋体"/>
                <w:kern w:val="0"/>
                <w:szCs w:val="21"/>
              </w:rPr>
            </w:pPr>
            <w:r>
              <w:rPr>
                <w:rFonts w:ascii="仿宋" w:hAnsi="仿宋" w:eastAsia="仿宋" w:cs="宋体"/>
                <w:kern w:val="0"/>
                <w:szCs w:val="21"/>
              </w:rPr>
              <w:t>3</w:t>
            </w:r>
          </w:p>
        </w:tc>
        <w:tc>
          <w:tcPr>
            <w:tcW w:w="698" w:type="pct"/>
            <w:tcBorders>
              <w:top w:val="nil"/>
              <w:left w:val="nil"/>
              <w:bottom w:val="single" w:color="auto" w:sz="4" w:space="0"/>
              <w:right w:val="single" w:color="auto" w:sz="4" w:space="0"/>
            </w:tcBorders>
            <w:noWrap/>
            <w:vAlign w:val="center"/>
          </w:tcPr>
          <w:p w14:paraId="10E921F7">
            <w:pPr>
              <w:widowControl/>
              <w:jc w:val="center"/>
              <w:rPr>
                <w:rFonts w:hint="eastAsia" w:ascii="仿宋" w:hAnsi="仿宋" w:eastAsia="仿宋" w:cs="宋体"/>
                <w:kern w:val="0"/>
                <w:szCs w:val="21"/>
              </w:rPr>
            </w:pPr>
            <w:r>
              <w:rPr>
                <w:rFonts w:ascii="仿宋" w:hAnsi="仿宋" w:eastAsia="仿宋" w:cs="宋体"/>
                <w:kern w:val="0"/>
                <w:szCs w:val="21"/>
              </w:rPr>
              <w:t>SC</w:t>
            </w:r>
          </w:p>
        </w:tc>
        <w:tc>
          <w:tcPr>
            <w:tcW w:w="2706" w:type="pct"/>
            <w:tcBorders>
              <w:top w:val="nil"/>
              <w:left w:val="nil"/>
              <w:bottom w:val="single" w:color="auto" w:sz="4" w:space="0"/>
              <w:right w:val="single" w:color="auto" w:sz="4" w:space="0"/>
            </w:tcBorders>
            <w:noWrap/>
            <w:vAlign w:val="center"/>
          </w:tcPr>
          <w:p w14:paraId="35592C43">
            <w:pPr>
              <w:widowControl/>
              <w:jc w:val="left"/>
              <w:rPr>
                <w:rFonts w:hint="eastAsia" w:ascii="仿宋" w:hAnsi="仿宋" w:eastAsia="仿宋" w:cs="宋体"/>
                <w:kern w:val="0"/>
                <w:szCs w:val="21"/>
              </w:rPr>
            </w:pPr>
            <w:r>
              <w:rPr>
                <w:rFonts w:ascii="仿宋" w:hAnsi="仿宋" w:eastAsia="仿宋" w:cs="宋体"/>
                <w:kern w:val="0"/>
                <w:szCs w:val="21"/>
              </w:rPr>
              <w:t>SC-SCA-SC基础整机-交流 (含100个硬终端注册License)</w:t>
            </w:r>
          </w:p>
        </w:tc>
        <w:tc>
          <w:tcPr>
            <w:tcW w:w="437" w:type="pct"/>
            <w:tcBorders>
              <w:top w:val="nil"/>
              <w:left w:val="nil"/>
              <w:bottom w:val="single" w:color="auto" w:sz="4" w:space="0"/>
              <w:right w:val="single" w:color="auto" w:sz="4" w:space="0"/>
            </w:tcBorders>
          </w:tcPr>
          <w:p w14:paraId="3F16CC5A">
            <w:pPr>
              <w:widowControl/>
              <w:jc w:val="center"/>
              <w:rPr>
                <w:rFonts w:hint="eastAsia" w:ascii="仿宋" w:hAnsi="仿宋" w:eastAsia="仿宋" w:cs="宋体"/>
                <w:kern w:val="0"/>
                <w:szCs w:val="21"/>
              </w:rPr>
            </w:pPr>
            <w:r>
              <w:rPr>
                <w:rFonts w:ascii="仿宋" w:hAnsi="仿宋" w:eastAsia="仿宋" w:cs="宋体"/>
                <w:kern w:val="0"/>
                <w:szCs w:val="21"/>
              </w:rPr>
              <w:t>2</w:t>
            </w:r>
          </w:p>
        </w:tc>
        <w:tc>
          <w:tcPr>
            <w:tcW w:w="725" w:type="pct"/>
            <w:vMerge w:val="continue"/>
            <w:tcBorders>
              <w:left w:val="nil"/>
              <w:bottom w:val="single" w:color="auto" w:sz="4" w:space="0"/>
              <w:right w:val="single" w:color="auto" w:sz="4" w:space="0"/>
            </w:tcBorders>
          </w:tcPr>
          <w:p w14:paraId="66B77C3A">
            <w:pPr>
              <w:widowControl/>
              <w:jc w:val="center"/>
              <w:rPr>
                <w:rFonts w:hint="eastAsia" w:ascii="仿宋" w:hAnsi="仿宋" w:eastAsia="仿宋" w:cs="宋体"/>
                <w:kern w:val="0"/>
                <w:szCs w:val="21"/>
              </w:rPr>
            </w:pPr>
          </w:p>
        </w:tc>
      </w:tr>
    </w:tbl>
    <w:p w14:paraId="1F1D782D">
      <w:pPr>
        <w:spacing w:line="360" w:lineRule="auto"/>
        <w:ind w:firstLine="480"/>
        <w:rPr>
          <w:rFonts w:hint="eastAsia" w:ascii="仿宋" w:hAnsi="仿宋" w:eastAsia="仿宋" w:cs="宋体"/>
          <w:sz w:val="24"/>
        </w:rPr>
      </w:pPr>
      <w:r>
        <w:rPr>
          <w:rFonts w:ascii="仿宋" w:hAnsi="仿宋" w:eastAsia="仿宋" w:cs="宋体"/>
          <w:sz w:val="24"/>
        </w:rPr>
        <w:t>视频会议系统终端设备已纳入</w:t>
      </w:r>
      <w:r>
        <w:rPr>
          <w:rFonts w:hint="eastAsia" w:ascii="仿宋" w:hAnsi="仿宋" w:eastAsia="仿宋" w:cs="宋体"/>
          <w:sz w:val="24"/>
        </w:rPr>
        <w:t>信息基础设施统一运维服务，本项目的运维服务，应会同统一运维服务项目，共同保障整个视频会议系统的正常使用。</w:t>
      </w:r>
    </w:p>
    <w:p w14:paraId="0B0352FB">
      <w:pPr>
        <w:spacing w:line="360" w:lineRule="auto"/>
        <w:ind w:firstLine="480"/>
        <w:rPr>
          <w:rFonts w:hint="eastAsia" w:ascii="仿宋" w:hAnsi="仿宋" w:eastAsia="仿宋"/>
        </w:rPr>
      </w:pPr>
    </w:p>
    <w:p w14:paraId="50B75F56">
      <w:pPr>
        <w:pStyle w:val="6"/>
        <w:rPr>
          <w:rFonts w:hint="eastAsia" w:ascii="仿宋" w:hAnsi="仿宋" w:eastAsia="仿宋" w:cs="宋体"/>
          <w:sz w:val="24"/>
        </w:rPr>
      </w:pPr>
      <w:r>
        <w:rPr>
          <w:rFonts w:hint="eastAsia" w:ascii="仿宋" w:hAnsi="仿宋" w:eastAsia="仿宋" w:cs="宋体"/>
          <w:sz w:val="24"/>
        </w:rPr>
        <w:t>视频会议系统使用授权</w:t>
      </w:r>
    </w:p>
    <w:p w14:paraId="4B184E27">
      <w:pPr>
        <w:pStyle w:val="18"/>
        <w:spacing w:line="360" w:lineRule="auto"/>
        <w:ind w:firstLine="480" w:firstLineChars="200"/>
        <w:jc w:val="both"/>
        <w:rPr>
          <w:rFonts w:hint="eastAsia" w:ascii="仿宋" w:hAnsi="仿宋" w:eastAsia="仿宋" w:cs="宋体"/>
          <w:sz w:val="24"/>
        </w:rPr>
      </w:pPr>
      <w:r>
        <w:rPr>
          <w:rFonts w:hint="eastAsia" w:ascii="仿宋" w:hAnsi="仿宋" w:eastAsia="仿宋" w:cs="宋体"/>
          <w:sz w:val="24"/>
        </w:rPr>
        <w:t>视频会议系统增值服务使用授权内容包括：设备注册许可、软终端接入许可、公私网穿越流量许可、监控融合接入路数许可、第三方高级用户并发授权、设备管理许可、双机热备功能许可、MCU并发端口许可等。以上授权服务未纳入信息基础设施统一运维服务，在本项目根据实际使用需求按年度进行采购。</w:t>
      </w:r>
    </w:p>
    <w:tbl>
      <w:tblPr>
        <w:tblStyle w:val="10"/>
        <w:tblW w:w="8174" w:type="dxa"/>
        <w:tblInd w:w="93" w:type="dxa"/>
        <w:tblLayout w:type="fixed"/>
        <w:tblCellMar>
          <w:top w:w="0" w:type="dxa"/>
          <w:left w:w="108" w:type="dxa"/>
          <w:bottom w:w="0" w:type="dxa"/>
          <w:right w:w="108" w:type="dxa"/>
        </w:tblCellMar>
      </w:tblPr>
      <w:tblGrid>
        <w:gridCol w:w="1178"/>
        <w:gridCol w:w="5103"/>
        <w:gridCol w:w="993"/>
        <w:gridCol w:w="900"/>
      </w:tblGrid>
      <w:tr w14:paraId="36B994BE">
        <w:tblPrEx>
          <w:tblCellMar>
            <w:top w:w="0" w:type="dxa"/>
            <w:left w:w="108" w:type="dxa"/>
            <w:bottom w:w="0" w:type="dxa"/>
            <w:right w:w="108" w:type="dxa"/>
          </w:tblCellMar>
        </w:tblPrEx>
        <w:trPr>
          <w:trHeight w:val="648"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55E21C12">
            <w:pPr>
              <w:widowControl/>
              <w:jc w:val="center"/>
              <w:textAlignment w:val="center"/>
              <w:rPr>
                <w:rFonts w:hint="eastAsia"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承载</w:t>
            </w:r>
            <w:r>
              <w:rPr>
                <w:rFonts w:ascii="仿宋" w:hAnsi="仿宋" w:eastAsia="仿宋" w:cs="仿宋"/>
                <w:b/>
                <w:bCs/>
                <w:color w:val="000000"/>
                <w:kern w:val="0"/>
                <w:sz w:val="20"/>
                <w:szCs w:val="20"/>
                <w:lang w:bidi="ar"/>
              </w:rPr>
              <w:t>设备</w:t>
            </w:r>
          </w:p>
        </w:tc>
        <w:tc>
          <w:tcPr>
            <w:tcW w:w="5103" w:type="dxa"/>
            <w:tcBorders>
              <w:top w:val="single" w:color="000000" w:sz="4" w:space="0"/>
              <w:left w:val="single" w:color="000000" w:sz="4" w:space="0"/>
              <w:bottom w:val="single" w:color="000000" w:sz="4" w:space="0"/>
              <w:right w:val="single" w:color="000000" w:sz="4" w:space="0"/>
            </w:tcBorders>
            <w:vAlign w:val="center"/>
          </w:tcPr>
          <w:p w14:paraId="201885FA">
            <w:pPr>
              <w:widowControl/>
              <w:jc w:val="center"/>
              <w:textAlignment w:val="center"/>
              <w:rPr>
                <w:rFonts w:hint="eastAsia" w:ascii="仿宋" w:hAnsi="仿宋" w:eastAsia="仿宋" w:cs="仿宋"/>
                <w:b/>
                <w:bCs/>
                <w:color w:val="000000"/>
                <w:kern w:val="0"/>
                <w:sz w:val="20"/>
                <w:szCs w:val="20"/>
                <w:lang w:bidi="ar"/>
              </w:rPr>
            </w:pPr>
            <w:r>
              <w:rPr>
                <w:rFonts w:ascii="仿宋" w:hAnsi="仿宋" w:eastAsia="仿宋" w:cs="仿宋"/>
                <w:b/>
                <w:bCs/>
                <w:color w:val="000000"/>
                <w:kern w:val="0"/>
                <w:sz w:val="20"/>
                <w:szCs w:val="20"/>
                <w:lang w:bidi="ar"/>
              </w:rPr>
              <w:t>服务描述</w:t>
            </w:r>
          </w:p>
        </w:tc>
        <w:tc>
          <w:tcPr>
            <w:tcW w:w="993" w:type="dxa"/>
            <w:tcBorders>
              <w:top w:val="single" w:color="000000" w:sz="4" w:space="0"/>
              <w:left w:val="single" w:color="000000" w:sz="4" w:space="0"/>
              <w:bottom w:val="single" w:color="000000" w:sz="4" w:space="0"/>
              <w:right w:val="single" w:color="000000" w:sz="4" w:space="0"/>
            </w:tcBorders>
            <w:vAlign w:val="center"/>
          </w:tcPr>
          <w:p w14:paraId="674132B1">
            <w:pPr>
              <w:widowControl/>
              <w:jc w:val="center"/>
              <w:textAlignment w:val="center"/>
              <w:rPr>
                <w:rFonts w:hint="eastAsia" w:ascii="仿宋" w:hAnsi="仿宋" w:eastAsia="仿宋" w:cs="仿宋"/>
                <w:b/>
                <w:bCs/>
                <w:color w:val="000000"/>
                <w:kern w:val="0"/>
                <w:sz w:val="20"/>
                <w:szCs w:val="20"/>
                <w:lang w:bidi="ar"/>
              </w:rPr>
            </w:pPr>
            <w:r>
              <w:rPr>
                <w:rFonts w:ascii="仿宋" w:hAnsi="仿宋" w:eastAsia="仿宋" w:cs="仿宋"/>
                <w:b/>
                <w:bCs/>
                <w:color w:val="000000"/>
                <w:kern w:val="0"/>
                <w:sz w:val="20"/>
                <w:szCs w:val="20"/>
                <w:lang w:bidi="ar"/>
              </w:rPr>
              <w:t>节点</w:t>
            </w:r>
          </w:p>
          <w:p w14:paraId="550B1B11">
            <w:pPr>
              <w:widowControl/>
              <w:jc w:val="center"/>
              <w:textAlignment w:val="center"/>
              <w:rPr>
                <w:rFonts w:hint="eastAsia" w:ascii="仿宋" w:hAnsi="仿宋" w:eastAsia="仿宋" w:cs="仿宋"/>
                <w:b/>
                <w:bCs/>
                <w:color w:val="000000"/>
                <w:sz w:val="20"/>
                <w:szCs w:val="20"/>
              </w:rPr>
            </w:pPr>
            <w:r>
              <w:rPr>
                <w:rFonts w:ascii="仿宋" w:hAnsi="仿宋" w:eastAsia="仿宋" w:cs="仿宋"/>
                <w:b/>
                <w:bCs/>
                <w:color w:val="000000"/>
                <w:kern w:val="0"/>
                <w:sz w:val="20"/>
                <w:szCs w:val="20"/>
                <w:lang w:bidi="ar"/>
              </w:rPr>
              <w:t>数量</w:t>
            </w:r>
          </w:p>
        </w:tc>
        <w:tc>
          <w:tcPr>
            <w:tcW w:w="900" w:type="dxa"/>
            <w:tcBorders>
              <w:top w:val="single" w:color="000000" w:sz="4" w:space="0"/>
              <w:left w:val="single" w:color="000000" w:sz="4" w:space="0"/>
              <w:bottom w:val="single" w:color="000000" w:sz="4" w:space="0"/>
              <w:right w:val="single" w:color="000000" w:sz="4" w:space="0"/>
            </w:tcBorders>
            <w:vAlign w:val="center"/>
          </w:tcPr>
          <w:p w14:paraId="4D1D289A">
            <w:pPr>
              <w:widowControl/>
              <w:jc w:val="center"/>
              <w:textAlignment w:val="center"/>
              <w:rPr>
                <w:rFonts w:hint="eastAsia" w:ascii="仿宋" w:hAnsi="仿宋" w:eastAsia="仿宋" w:cs="仿宋"/>
                <w:b/>
                <w:bCs/>
                <w:color w:val="000000"/>
                <w:kern w:val="0"/>
                <w:sz w:val="20"/>
                <w:szCs w:val="20"/>
                <w:lang w:bidi="ar"/>
              </w:rPr>
            </w:pPr>
            <w:r>
              <w:rPr>
                <w:rFonts w:ascii="仿宋" w:hAnsi="仿宋" w:eastAsia="仿宋" w:cs="仿宋"/>
                <w:b/>
                <w:bCs/>
                <w:color w:val="000000"/>
                <w:kern w:val="0"/>
                <w:sz w:val="20"/>
                <w:szCs w:val="20"/>
                <w:lang w:bidi="ar"/>
              </w:rPr>
              <w:t>服务时长(月)</w:t>
            </w:r>
          </w:p>
        </w:tc>
      </w:tr>
      <w:tr w14:paraId="329561ED">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3C18C881">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SMC</w:t>
            </w:r>
          </w:p>
        </w:tc>
        <w:tc>
          <w:tcPr>
            <w:tcW w:w="5103" w:type="dxa"/>
            <w:tcBorders>
              <w:top w:val="single" w:color="000000" w:sz="4" w:space="0"/>
              <w:left w:val="single" w:color="000000" w:sz="4" w:space="0"/>
              <w:bottom w:val="single" w:color="000000" w:sz="4" w:space="0"/>
              <w:right w:val="single" w:color="000000" w:sz="4" w:space="0"/>
            </w:tcBorders>
            <w:vAlign w:val="center"/>
          </w:tcPr>
          <w:p w14:paraId="0D723F86">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SMC3.0设备注册许可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13D3D068">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150</w:t>
            </w:r>
          </w:p>
        </w:tc>
        <w:tc>
          <w:tcPr>
            <w:tcW w:w="900" w:type="dxa"/>
            <w:tcBorders>
              <w:top w:val="single" w:color="000000" w:sz="4" w:space="0"/>
              <w:left w:val="single" w:color="000000" w:sz="4" w:space="0"/>
              <w:bottom w:val="single" w:color="000000" w:sz="4" w:space="0"/>
              <w:right w:val="single" w:color="000000" w:sz="4" w:space="0"/>
            </w:tcBorders>
            <w:vAlign w:val="center"/>
          </w:tcPr>
          <w:p w14:paraId="220B51F8">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05A29DC0">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5EE75306">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SMC</w:t>
            </w:r>
          </w:p>
        </w:tc>
        <w:tc>
          <w:tcPr>
            <w:tcW w:w="5103" w:type="dxa"/>
            <w:tcBorders>
              <w:top w:val="single" w:color="000000" w:sz="4" w:space="0"/>
              <w:left w:val="single" w:color="000000" w:sz="4" w:space="0"/>
              <w:bottom w:val="single" w:color="000000" w:sz="4" w:space="0"/>
              <w:right w:val="single" w:color="000000" w:sz="4" w:space="0"/>
            </w:tcBorders>
            <w:vAlign w:val="center"/>
          </w:tcPr>
          <w:p w14:paraId="5129AA3E">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SMC3.0软终端接入许可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3436B245">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100</w:t>
            </w:r>
          </w:p>
        </w:tc>
        <w:tc>
          <w:tcPr>
            <w:tcW w:w="900" w:type="dxa"/>
            <w:tcBorders>
              <w:top w:val="single" w:color="000000" w:sz="4" w:space="0"/>
              <w:left w:val="single" w:color="000000" w:sz="4" w:space="0"/>
              <w:bottom w:val="single" w:color="000000" w:sz="4" w:space="0"/>
              <w:right w:val="single" w:color="000000" w:sz="4" w:space="0"/>
            </w:tcBorders>
            <w:vAlign w:val="center"/>
          </w:tcPr>
          <w:p w14:paraId="3AA329D9">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7134C70D">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391CE53A">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SMC</w:t>
            </w:r>
          </w:p>
        </w:tc>
        <w:tc>
          <w:tcPr>
            <w:tcW w:w="5103" w:type="dxa"/>
            <w:tcBorders>
              <w:top w:val="single" w:color="000000" w:sz="4" w:space="0"/>
              <w:left w:val="single" w:color="000000" w:sz="4" w:space="0"/>
              <w:bottom w:val="single" w:color="000000" w:sz="4" w:space="0"/>
              <w:right w:val="single" w:color="000000" w:sz="4" w:space="0"/>
            </w:tcBorders>
            <w:vAlign w:val="center"/>
          </w:tcPr>
          <w:p w14:paraId="28474E5A">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SMC3.0公私网穿越流量许可(1M)</w:t>
            </w:r>
          </w:p>
        </w:tc>
        <w:tc>
          <w:tcPr>
            <w:tcW w:w="993" w:type="dxa"/>
            <w:tcBorders>
              <w:top w:val="single" w:color="000000" w:sz="4" w:space="0"/>
              <w:left w:val="single" w:color="000000" w:sz="4" w:space="0"/>
              <w:bottom w:val="single" w:color="000000" w:sz="4" w:space="0"/>
              <w:right w:val="single" w:color="000000" w:sz="4" w:space="0"/>
            </w:tcBorders>
            <w:vAlign w:val="center"/>
          </w:tcPr>
          <w:p w14:paraId="6EE1B845">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100</w:t>
            </w:r>
          </w:p>
        </w:tc>
        <w:tc>
          <w:tcPr>
            <w:tcW w:w="900" w:type="dxa"/>
            <w:tcBorders>
              <w:top w:val="single" w:color="000000" w:sz="4" w:space="0"/>
              <w:left w:val="single" w:color="000000" w:sz="4" w:space="0"/>
              <w:bottom w:val="single" w:color="000000" w:sz="4" w:space="0"/>
              <w:right w:val="single" w:color="000000" w:sz="4" w:space="0"/>
            </w:tcBorders>
            <w:vAlign w:val="center"/>
          </w:tcPr>
          <w:p w14:paraId="3BE598A3">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2C807E2A">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5F1F6AA9">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SMC</w:t>
            </w:r>
          </w:p>
        </w:tc>
        <w:tc>
          <w:tcPr>
            <w:tcW w:w="5103" w:type="dxa"/>
            <w:tcBorders>
              <w:top w:val="single" w:color="000000" w:sz="4" w:space="0"/>
              <w:left w:val="single" w:color="000000" w:sz="4" w:space="0"/>
              <w:bottom w:val="single" w:color="000000" w:sz="4" w:space="0"/>
              <w:right w:val="single" w:color="000000" w:sz="4" w:space="0"/>
            </w:tcBorders>
            <w:vAlign w:val="center"/>
          </w:tcPr>
          <w:p w14:paraId="589993DA">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SMC3.0监控融合接入路数许可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5B9726D6">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1</w:t>
            </w:r>
          </w:p>
        </w:tc>
        <w:tc>
          <w:tcPr>
            <w:tcW w:w="900" w:type="dxa"/>
            <w:tcBorders>
              <w:top w:val="single" w:color="000000" w:sz="4" w:space="0"/>
              <w:left w:val="single" w:color="000000" w:sz="4" w:space="0"/>
              <w:bottom w:val="single" w:color="000000" w:sz="4" w:space="0"/>
              <w:right w:val="single" w:color="000000" w:sz="4" w:space="0"/>
            </w:tcBorders>
            <w:vAlign w:val="center"/>
          </w:tcPr>
          <w:p w14:paraId="29B28E74">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298A0AF4">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57EEEA43">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VMC</w:t>
            </w:r>
          </w:p>
        </w:tc>
        <w:tc>
          <w:tcPr>
            <w:tcW w:w="5103" w:type="dxa"/>
            <w:tcBorders>
              <w:top w:val="single" w:color="000000" w:sz="4" w:space="0"/>
              <w:left w:val="single" w:color="000000" w:sz="4" w:space="0"/>
              <w:bottom w:val="single" w:color="000000" w:sz="4" w:space="0"/>
              <w:right w:val="single" w:color="000000" w:sz="4" w:space="0"/>
            </w:tcBorders>
            <w:vAlign w:val="center"/>
          </w:tcPr>
          <w:p w14:paraId="1A165A33">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Hi-Care应用软件升级支持服务SMC第三方高级用户并发授权</w:t>
            </w:r>
          </w:p>
        </w:tc>
        <w:tc>
          <w:tcPr>
            <w:tcW w:w="993" w:type="dxa"/>
            <w:tcBorders>
              <w:top w:val="single" w:color="000000" w:sz="4" w:space="0"/>
              <w:left w:val="single" w:color="000000" w:sz="4" w:space="0"/>
              <w:bottom w:val="single" w:color="000000" w:sz="4" w:space="0"/>
              <w:right w:val="single" w:color="000000" w:sz="4" w:space="0"/>
            </w:tcBorders>
            <w:vAlign w:val="center"/>
          </w:tcPr>
          <w:p w14:paraId="6FBE0E75">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2</w:t>
            </w:r>
          </w:p>
        </w:tc>
        <w:tc>
          <w:tcPr>
            <w:tcW w:w="900" w:type="dxa"/>
            <w:tcBorders>
              <w:top w:val="single" w:color="000000" w:sz="4" w:space="0"/>
              <w:left w:val="single" w:color="000000" w:sz="4" w:space="0"/>
              <w:bottom w:val="single" w:color="000000" w:sz="4" w:space="0"/>
              <w:right w:val="single" w:color="000000" w:sz="4" w:space="0"/>
            </w:tcBorders>
            <w:vAlign w:val="center"/>
          </w:tcPr>
          <w:p w14:paraId="762BA54D">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0893CD91">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71AE9EAA">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SMC</w:t>
            </w:r>
          </w:p>
        </w:tc>
        <w:tc>
          <w:tcPr>
            <w:tcW w:w="5103" w:type="dxa"/>
            <w:tcBorders>
              <w:top w:val="single" w:color="000000" w:sz="4" w:space="0"/>
              <w:left w:val="single" w:color="000000" w:sz="4" w:space="0"/>
              <w:bottom w:val="single" w:color="000000" w:sz="4" w:space="0"/>
              <w:right w:val="single" w:color="000000" w:sz="4" w:space="0"/>
            </w:tcBorders>
            <w:vAlign w:val="center"/>
          </w:tcPr>
          <w:p w14:paraId="6E12C134">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SMC3.0设备管理许可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4B0915D3">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250</w:t>
            </w:r>
          </w:p>
        </w:tc>
        <w:tc>
          <w:tcPr>
            <w:tcW w:w="900" w:type="dxa"/>
            <w:tcBorders>
              <w:top w:val="single" w:color="000000" w:sz="4" w:space="0"/>
              <w:left w:val="single" w:color="000000" w:sz="4" w:space="0"/>
              <w:bottom w:val="single" w:color="000000" w:sz="4" w:space="0"/>
              <w:right w:val="single" w:color="000000" w:sz="4" w:space="0"/>
            </w:tcBorders>
            <w:vAlign w:val="center"/>
          </w:tcPr>
          <w:p w14:paraId="23480F84">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2465FC41">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522E0BC8">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SMC</w:t>
            </w:r>
          </w:p>
        </w:tc>
        <w:tc>
          <w:tcPr>
            <w:tcW w:w="5103" w:type="dxa"/>
            <w:tcBorders>
              <w:top w:val="single" w:color="000000" w:sz="4" w:space="0"/>
              <w:left w:val="single" w:color="000000" w:sz="4" w:space="0"/>
              <w:bottom w:val="single" w:color="000000" w:sz="4" w:space="0"/>
              <w:right w:val="single" w:color="000000" w:sz="4" w:space="0"/>
            </w:tcBorders>
            <w:vAlign w:val="center"/>
          </w:tcPr>
          <w:p w14:paraId="09630897">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SMC双机功能许可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296CDA45">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1</w:t>
            </w:r>
          </w:p>
        </w:tc>
        <w:tc>
          <w:tcPr>
            <w:tcW w:w="900" w:type="dxa"/>
            <w:tcBorders>
              <w:top w:val="single" w:color="000000" w:sz="4" w:space="0"/>
              <w:left w:val="single" w:color="000000" w:sz="4" w:space="0"/>
              <w:bottom w:val="single" w:color="000000" w:sz="4" w:space="0"/>
              <w:right w:val="single" w:color="000000" w:sz="4" w:space="0"/>
            </w:tcBorders>
            <w:vAlign w:val="center"/>
          </w:tcPr>
          <w:p w14:paraId="42C4B144">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1D74F4B4">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58DBDDE6">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VP9860</w:t>
            </w:r>
          </w:p>
        </w:tc>
        <w:tc>
          <w:tcPr>
            <w:tcW w:w="5103" w:type="dxa"/>
            <w:tcBorders>
              <w:top w:val="single" w:color="000000" w:sz="4" w:space="0"/>
              <w:left w:val="single" w:color="000000" w:sz="4" w:space="0"/>
              <w:bottom w:val="single" w:color="000000" w:sz="4" w:space="0"/>
              <w:right w:val="single" w:color="000000" w:sz="4" w:space="0"/>
            </w:tcBorders>
            <w:vAlign w:val="center"/>
          </w:tcPr>
          <w:p w14:paraId="2F932462">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VP98MCU并发端口许可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6895160C">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92</w:t>
            </w:r>
          </w:p>
        </w:tc>
        <w:tc>
          <w:tcPr>
            <w:tcW w:w="900" w:type="dxa"/>
            <w:tcBorders>
              <w:top w:val="single" w:color="000000" w:sz="4" w:space="0"/>
              <w:left w:val="single" w:color="000000" w:sz="4" w:space="0"/>
              <w:bottom w:val="single" w:color="000000" w:sz="4" w:space="0"/>
              <w:right w:val="single" w:color="000000" w:sz="4" w:space="0"/>
            </w:tcBorders>
            <w:noWrap/>
            <w:vAlign w:val="center"/>
          </w:tcPr>
          <w:p w14:paraId="49F2DBB1">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r w14:paraId="798BE703">
        <w:tblPrEx>
          <w:tblCellMar>
            <w:top w:w="0" w:type="dxa"/>
            <w:left w:w="108" w:type="dxa"/>
            <w:bottom w:w="0" w:type="dxa"/>
            <w:right w:w="108" w:type="dxa"/>
          </w:tblCellMar>
        </w:tblPrEx>
        <w:trPr>
          <w:trHeight w:val="227" w:hRule="atLeast"/>
        </w:trPr>
        <w:tc>
          <w:tcPr>
            <w:tcW w:w="1178" w:type="dxa"/>
            <w:tcBorders>
              <w:top w:val="single" w:color="000000" w:sz="4" w:space="0"/>
              <w:left w:val="single" w:color="000000" w:sz="4" w:space="0"/>
              <w:bottom w:val="single" w:color="000000" w:sz="4" w:space="0"/>
              <w:right w:val="single" w:color="000000" w:sz="4" w:space="0"/>
            </w:tcBorders>
            <w:vAlign w:val="center"/>
          </w:tcPr>
          <w:p w14:paraId="3B7F9DE7">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VP9860</w:t>
            </w:r>
          </w:p>
        </w:tc>
        <w:tc>
          <w:tcPr>
            <w:tcW w:w="5103" w:type="dxa"/>
            <w:tcBorders>
              <w:top w:val="single" w:color="000000" w:sz="4" w:space="0"/>
              <w:left w:val="single" w:color="000000" w:sz="4" w:space="0"/>
              <w:bottom w:val="single" w:color="000000" w:sz="4" w:space="0"/>
              <w:right w:val="single" w:color="000000" w:sz="4" w:space="0"/>
            </w:tcBorders>
            <w:vAlign w:val="center"/>
          </w:tcPr>
          <w:p w14:paraId="26E4B62F">
            <w:pPr>
              <w:widowControl/>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Hi-Care应用软件升级支持服务 VP98MCU并发端口许可</w:t>
            </w:r>
          </w:p>
        </w:tc>
        <w:tc>
          <w:tcPr>
            <w:tcW w:w="993" w:type="dxa"/>
            <w:tcBorders>
              <w:top w:val="single" w:color="000000" w:sz="4" w:space="0"/>
              <w:left w:val="single" w:color="000000" w:sz="4" w:space="0"/>
              <w:bottom w:val="single" w:color="000000" w:sz="4" w:space="0"/>
              <w:right w:val="single" w:color="000000" w:sz="4" w:space="0"/>
            </w:tcBorders>
            <w:vAlign w:val="center"/>
          </w:tcPr>
          <w:p w14:paraId="1CC04600">
            <w:pPr>
              <w:widowControl/>
              <w:jc w:val="center"/>
              <w:textAlignment w:val="center"/>
              <w:rPr>
                <w:rFonts w:hint="eastAsia" w:ascii="仿宋" w:hAnsi="仿宋" w:eastAsia="仿宋" w:cs="仿宋"/>
                <w:color w:val="000000"/>
                <w:sz w:val="18"/>
                <w:szCs w:val="18"/>
              </w:rPr>
            </w:pPr>
            <w:r>
              <w:rPr>
                <w:rFonts w:ascii="仿宋" w:hAnsi="仿宋" w:eastAsia="仿宋" w:cs="仿宋"/>
                <w:color w:val="000000"/>
                <w:kern w:val="0"/>
                <w:sz w:val="18"/>
                <w:szCs w:val="18"/>
                <w:lang w:bidi="ar"/>
              </w:rPr>
              <w:t>92</w:t>
            </w:r>
          </w:p>
        </w:tc>
        <w:tc>
          <w:tcPr>
            <w:tcW w:w="900" w:type="dxa"/>
            <w:tcBorders>
              <w:top w:val="single" w:color="000000" w:sz="4" w:space="0"/>
              <w:left w:val="single" w:color="000000" w:sz="4" w:space="0"/>
              <w:bottom w:val="single" w:color="000000" w:sz="4" w:space="0"/>
              <w:right w:val="single" w:color="000000" w:sz="4" w:space="0"/>
            </w:tcBorders>
            <w:noWrap/>
            <w:vAlign w:val="center"/>
          </w:tcPr>
          <w:p w14:paraId="57A21E15">
            <w:pPr>
              <w:widowControl/>
              <w:jc w:val="center"/>
              <w:textAlignment w:val="center"/>
              <w:rPr>
                <w:rFonts w:hint="eastAsia" w:ascii="仿宋" w:hAnsi="仿宋" w:eastAsia="仿宋" w:cs="仿宋"/>
                <w:color w:val="000000"/>
                <w:kern w:val="0"/>
                <w:sz w:val="20"/>
                <w:szCs w:val="20"/>
                <w:lang w:bidi="ar"/>
              </w:rPr>
            </w:pPr>
            <w:r>
              <w:rPr>
                <w:rFonts w:ascii="仿宋" w:hAnsi="仿宋" w:eastAsia="仿宋" w:cs="仿宋"/>
                <w:color w:val="000000"/>
                <w:kern w:val="0"/>
                <w:sz w:val="20"/>
                <w:szCs w:val="20"/>
                <w:lang w:bidi="ar"/>
              </w:rPr>
              <w:t>12</w:t>
            </w:r>
          </w:p>
        </w:tc>
      </w:tr>
    </w:tbl>
    <w:p w14:paraId="5425B1EA">
      <w:pPr>
        <w:ind w:firstLine="480"/>
        <w:rPr>
          <w:rFonts w:hint="eastAsia" w:ascii="仿宋" w:hAnsi="仿宋" w:eastAsia="仿宋"/>
        </w:rPr>
      </w:pPr>
    </w:p>
    <w:p w14:paraId="0EFA92A3">
      <w:pPr>
        <w:pStyle w:val="6"/>
        <w:rPr>
          <w:rFonts w:hint="eastAsia" w:ascii="仿宋" w:hAnsi="仿宋" w:eastAsia="仿宋" w:cs="宋体"/>
          <w:sz w:val="24"/>
        </w:rPr>
      </w:pPr>
      <w:r>
        <w:rPr>
          <w:rFonts w:hint="eastAsia" w:ascii="仿宋" w:hAnsi="仿宋" w:eastAsia="仿宋" w:cs="宋体"/>
          <w:sz w:val="24"/>
        </w:rPr>
        <w:t>视频会议系统服务端核心设备运维服务要求</w:t>
      </w:r>
    </w:p>
    <w:p w14:paraId="48FCD459">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远程处理问题</w:t>
      </w:r>
    </w:p>
    <w:p w14:paraId="04726603">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工程师在接到网络或系统故障申报后，首先进行远程故障分析与处理，及时排除故障。远程问题处理包括电话支持和远程接入。</w:t>
      </w:r>
    </w:p>
    <w:p w14:paraId="5FA47D2F">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电话支持</w:t>
      </w:r>
    </w:p>
    <w:p w14:paraId="305695E4">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接到服务请求后，在服务等级规定的响应时间内通过电话支持进行响应，帮助用户对问题进行分析、诊断以及定位，提供解决问题的方案，并引导用户实施。</w:t>
      </w:r>
    </w:p>
    <w:p w14:paraId="77E6A587">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远程接入</w:t>
      </w:r>
    </w:p>
    <w:p w14:paraId="225EFDC8">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对于通过电话支持服务不能解决的故障或问题，在征得用户同意后，通过远程终端登陆到故障设备中调查和收集数据，分析故障原因，提出解决方案，指导用户实施，必要时可以提供远程操作。</w:t>
      </w:r>
    </w:p>
    <w:p w14:paraId="606E442B">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远程问题处理服务中双方的职责分工表：</w:t>
      </w:r>
    </w:p>
    <w:tbl>
      <w:tblPr>
        <w:tblStyle w:val="10"/>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9"/>
        <w:gridCol w:w="5508"/>
        <w:gridCol w:w="1019"/>
        <w:gridCol w:w="1311"/>
      </w:tblGrid>
      <w:tr w14:paraId="7712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29" w:type="dxa"/>
            <w:shd w:val="clear" w:color="auto" w:fill="D9D9D9"/>
            <w:vAlign w:val="center"/>
          </w:tcPr>
          <w:p w14:paraId="60CD1563">
            <w:pPr>
              <w:tabs>
                <w:tab w:val="left" w:pos="360"/>
                <w:tab w:val="left" w:pos="2040"/>
              </w:tabs>
              <w:spacing w:line="360" w:lineRule="auto"/>
              <w:rPr>
                <w:rFonts w:hint="eastAsia" w:ascii="仿宋" w:hAnsi="仿宋" w:eastAsia="仿宋" w:cs="宋体"/>
                <w:b/>
              </w:rPr>
            </w:pPr>
            <w:r>
              <w:rPr>
                <w:rFonts w:hint="eastAsia" w:ascii="仿宋" w:hAnsi="仿宋" w:eastAsia="仿宋" w:cs="宋体"/>
                <w:b/>
              </w:rPr>
              <w:t>序号</w:t>
            </w:r>
          </w:p>
        </w:tc>
        <w:tc>
          <w:tcPr>
            <w:tcW w:w="5362" w:type="dxa"/>
            <w:shd w:val="clear" w:color="auto" w:fill="D9D9D9"/>
            <w:vAlign w:val="center"/>
          </w:tcPr>
          <w:p w14:paraId="016AA78B">
            <w:pPr>
              <w:tabs>
                <w:tab w:val="left" w:pos="360"/>
                <w:tab w:val="left" w:pos="2040"/>
              </w:tabs>
              <w:spacing w:line="360" w:lineRule="auto"/>
              <w:rPr>
                <w:rFonts w:hint="eastAsia" w:ascii="仿宋" w:hAnsi="仿宋" w:eastAsia="仿宋" w:cs="宋体"/>
                <w:b/>
              </w:rPr>
            </w:pPr>
            <w:r>
              <w:rPr>
                <w:rFonts w:hint="eastAsia" w:ascii="仿宋" w:hAnsi="仿宋" w:eastAsia="仿宋" w:cs="宋体"/>
                <w:b/>
              </w:rPr>
              <w:t>活动</w:t>
            </w:r>
          </w:p>
        </w:tc>
        <w:tc>
          <w:tcPr>
            <w:tcW w:w="992" w:type="dxa"/>
            <w:shd w:val="clear" w:color="auto" w:fill="D9D9D9"/>
            <w:vAlign w:val="center"/>
          </w:tcPr>
          <w:p w14:paraId="5F5808C9">
            <w:pPr>
              <w:tabs>
                <w:tab w:val="left" w:pos="360"/>
                <w:tab w:val="left" w:pos="2040"/>
              </w:tabs>
              <w:spacing w:line="360" w:lineRule="auto"/>
              <w:rPr>
                <w:rFonts w:hint="eastAsia" w:ascii="仿宋" w:hAnsi="仿宋" w:eastAsia="仿宋" w:cs="宋体"/>
                <w:b/>
              </w:rPr>
            </w:pPr>
            <w:r>
              <w:rPr>
                <w:rFonts w:hint="eastAsia" w:ascii="仿宋" w:hAnsi="仿宋" w:eastAsia="仿宋" w:cs="宋体"/>
                <w:b/>
              </w:rPr>
              <w:t>职责</w:t>
            </w:r>
          </w:p>
        </w:tc>
        <w:tc>
          <w:tcPr>
            <w:tcW w:w="1276" w:type="dxa"/>
            <w:shd w:val="clear" w:color="auto" w:fill="D9D9D9"/>
            <w:vAlign w:val="center"/>
          </w:tcPr>
          <w:p w14:paraId="69F181C7">
            <w:pPr>
              <w:tabs>
                <w:tab w:val="left" w:pos="360"/>
                <w:tab w:val="left" w:pos="2040"/>
              </w:tabs>
              <w:spacing w:line="360" w:lineRule="auto"/>
              <w:rPr>
                <w:rFonts w:hint="eastAsia" w:ascii="仿宋" w:hAnsi="仿宋" w:eastAsia="仿宋" w:cs="宋体"/>
                <w:b/>
              </w:rPr>
            </w:pPr>
            <w:r>
              <w:rPr>
                <w:rFonts w:hint="eastAsia" w:ascii="仿宋" w:hAnsi="仿宋" w:eastAsia="仿宋" w:cs="宋体"/>
                <w:b/>
              </w:rPr>
              <w:t>用户职责</w:t>
            </w:r>
          </w:p>
        </w:tc>
      </w:tr>
      <w:tr w14:paraId="1D5C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9" w:type="dxa"/>
            <w:noWrap/>
            <w:vAlign w:val="center"/>
          </w:tcPr>
          <w:p w14:paraId="0A656189">
            <w:pPr>
              <w:tabs>
                <w:tab w:val="left" w:pos="360"/>
                <w:tab w:val="left" w:pos="2040"/>
              </w:tabs>
              <w:spacing w:line="360" w:lineRule="auto"/>
              <w:rPr>
                <w:rFonts w:hint="eastAsia" w:ascii="仿宋" w:hAnsi="仿宋" w:eastAsia="仿宋" w:cs="宋体"/>
              </w:rPr>
            </w:pPr>
            <w:r>
              <w:rPr>
                <w:rFonts w:hint="eastAsia" w:ascii="仿宋" w:hAnsi="仿宋" w:eastAsia="仿宋" w:cs="宋体"/>
              </w:rPr>
              <w:t>1</w:t>
            </w:r>
          </w:p>
        </w:tc>
        <w:tc>
          <w:tcPr>
            <w:tcW w:w="5362" w:type="dxa"/>
            <w:vAlign w:val="center"/>
          </w:tcPr>
          <w:p w14:paraId="362F24E3">
            <w:pPr>
              <w:tabs>
                <w:tab w:val="left" w:pos="360"/>
                <w:tab w:val="left" w:pos="2040"/>
              </w:tabs>
              <w:spacing w:line="360" w:lineRule="auto"/>
              <w:rPr>
                <w:rFonts w:hint="eastAsia" w:ascii="仿宋" w:hAnsi="仿宋" w:eastAsia="仿宋" w:cs="宋体"/>
              </w:rPr>
            </w:pPr>
            <w:r>
              <w:rPr>
                <w:rFonts w:hint="eastAsia" w:ascii="仿宋" w:hAnsi="仿宋" w:eastAsia="仿宋" w:cs="宋体"/>
              </w:rPr>
              <w:t>提供问题处理服务申请的途径。</w:t>
            </w:r>
          </w:p>
        </w:tc>
        <w:tc>
          <w:tcPr>
            <w:tcW w:w="992" w:type="dxa"/>
            <w:noWrap/>
            <w:vAlign w:val="center"/>
          </w:tcPr>
          <w:p w14:paraId="5EE83E6A">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c>
          <w:tcPr>
            <w:tcW w:w="1276" w:type="dxa"/>
            <w:noWrap/>
            <w:vAlign w:val="center"/>
          </w:tcPr>
          <w:p w14:paraId="08AC4A26">
            <w:pPr>
              <w:tabs>
                <w:tab w:val="left" w:pos="360"/>
                <w:tab w:val="left" w:pos="2040"/>
              </w:tabs>
              <w:spacing w:line="360" w:lineRule="auto"/>
              <w:rPr>
                <w:rFonts w:hint="eastAsia" w:ascii="仿宋" w:hAnsi="仿宋" w:eastAsia="仿宋" w:cs="宋体"/>
              </w:rPr>
            </w:pPr>
            <w:r>
              <w:rPr>
                <w:rFonts w:hint="eastAsia" w:ascii="仿宋" w:hAnsi="仿宋" w:eastAsia="仿宋" w:cs="宋体"/>
              </w:rPr>
              <w:t>－</w:t>
            </w:r>
          </w:p>
        </w:tc>
      </w:tr>
      <w:tr w14:paraId="3AAA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9" w:type="dxa"/>
            <w:noWrap/>
            <w:vAlign w:val="center"/>
          </w:tcPr>
          <w:p w14:paraId="419EE399">
            <w:pPr>
              <w:tabs>
                <w:tab w:val="left" w:pos="360"/>
                <w:tab w:val="left" w:pos="2040"/>
              </w:tabs>
              <w:spacing w:line="360" w:lineRule="auto"/>
              <w:rPr>
                <w:rFonts w:hint="eastAsia" w:ascii="仿宋" w:hAnsi="仿宋" w:eastAsia="仿宋" w:cs="宋体"/>
              </w:rPr>
            </w:pPr>
            <w:r>
              <w:rPr>
                <w:rFonts w:hint="eastAsia" w:ascii="仿宋" w:hAnsi="仿宋" w:eastAsia="仿宋" w:cs="宋体"/>
              </w:rPr>
              <w:t>2</w:t>
            </w:r>
          </w:p>
        </w:tc>
        <w:tc>
          <w:tcPr>
            <w:tcW w:w="5362" w:type="dxa"/>
            <w:vAlign w:val="center"/>
          </w:tcPr>
          <w:p w14:paraId="6B4AB14D">
            <w:pPr>
              <w:tabs>
                <w:tab w:val="left" w:pos="360"/>
                <w:tab w:val="left" w:pos="2040"/>
              </w:tabs>
              <w:spacing w:line="360" w:lineRule="auto"/>
              <w:rPr>
                <w:rFonts w:hint="eastAsia" w:ascii="仿宋" w:hAnsi="仿宋" w:eastAsia="仿宋" w:cs="宋体"/>
              </w:rPr>
            </w:pPr>
            <w:r>
              <w:rPr>
                <w:rFonts w:hint="eastAsia" w:ascii="仿宋" w:hAnsi="仿宋" w:eastAsia="仿宋" w:cs="宋体"/>
              </w:rPr>
              <w:t>在规定的SLA内响应服务请求。</w:t>
            </w:r>
          </w:p>
        </w:tc>
        <w:tc>
          <w:tcPr>
            <w:tcW w:w="992" w:type="dxa"/>
            <w:noWrap/>
            <w:vAlign w:val="center"/>
          </w:tcPr>
          <w:p w14:paraId="036B8B68">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c>
          <w:tcPr>
            <w:tcW w:w="1276" w:type="dxa"/>
            <w:noWrap/>
            <w:vAlign w:val="center"/>
          </w:tcPr>
          <w:p w14:paraId="1ABC80FB">
            <w:pPr>
              <w:tabs>
                <w:tab w:val="left" w:pos="360"/>
                <w:tab w:val="left" w:pos="2040"/>
              </w:tabs>
              <w:spacing w:line="360" w:lineRule="auto"/>
              <w:rPr>
                <w:rFonts w:hint="eastAsia" w:ascii="仿宋" w:hAnsi="仿宋" w:eastAsia="仿宋" w:cs="宋体"/>
              </w:rPr>
            </w:pPr>
            <w:r>
              <w:rPr>
                <w:rFonts w:hint="eastAsia" w:ascii="仿宋" w:hAnsi="仿宋" w:eastAsia="仿宋" w:cs="宋体"/>
              </w:rPr>
              <w:t>协助方</w:t>
            </w:r>
          </w:p>
        </w:tc>
      </w:tr>
      <w:tr w14:paraId="7433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729" w:type="dxa"/>
            <w:noWrap/>
            <w:vAlign w:val="center"/>
          </w:tcPr>
          <w:p w14:paraId="6A7A84BE">
            <w:pPr>
              <w:tabs>
                <w:tab w:val="left" w:pos="360"/>
                <w:tab w:val="left" w:pos="2040"/>
              </w:tabs>
              <w:spacing w:line="360" w:lineRule="auto"/>
              <w:rPr>
                <w:rFonts w:hint="eastAsia" w:ascii="仿宋" w:hAnsi="仿宋" w:eastAsia="仿宋" w:cs="宋体"/>
              </w:rPr>
            </w:pPr>
            <w:r>
              <w:rPr>
                <w:rFonts w:hint="eastAsia" w:ascii="仿宋" w:hAnsi="仿宋" w:eastAsia="仿宋" w:cs="宋体"/>
              </w:rPr>
              <w:t>3</w:t>
            </w:r>
          </w:p>
        </w:tc>
        <w:tc>
          <w:tcPr>
            <w:tcW w:w="5362" w:type="dxa"/>
            <w:vAlign w:val="center"/>
          </w:tcPr>
          <w:p w14:paraId="7B3DDD47">
            <w:pPr>
              <w:tabs>
                <w:tab w:val="left" w:pos="360"/>
                <w:tab w:val="left" w:pos="2040"/>
              </w:tabs>
              <w:spacing w:line="360" w:lineRule="auto"/>
              <w:rPr>
                <w:rFonts w:hint="eastAsia" w:ascii="仿宋" w:hAnsi="仿宋" w:eastAsia="仿宋" w:cs="宋体"/>
              </w:rPr>
            </w:pPr>
            <w:r>
              <w:rPr>
                <w:rFonts w:hint="eastAsia" w:ascii="仿宋" w:hAnsi="仿宋" w:eastAsia="仿宋" w:cs="宋体"/>
              </w:rPr>
              <w:t>将问题单升级到相应的专家支持团队（必要时）。</w:t>
            </w:r>
          </w:p>
        </w:tc>
        <w:tc>
          <w:tcPr>
            <w:tcW w:w="992" w:type="dxa"/>
            <w:noWrap/>
            <w:vAlign w:val="center"/>
          </w:tcPr>
          <w:p w14:paraId="31492E86">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c>
          <w:tcPr>
            <w:tcW w:w="1276" w:type="dxa"/>
            <w:noWrap/>
            <w:vAlign w:val="center"/>
          </w:tcPr>
          <w:p w14:paraId="1C073767">
            <w:pPr>
              <w:tabs>
                <w:tab w:val="left" w:pos="360"/>
                <w:tab w:val="left" w:pos="2040"/>
              </w:tabs>
              <w:spacing w:line="360" w:lineRule="auto"/>
              <w:rPr>
                <w:rFonts w:hint="eastAsia" w:ascii="仿宋" w:hAnsi="仿宋" w:eastAsia="仿宋" w:cs="宋体"/>
              </w:rPr>
            </w:pPr>
            <w:r>
              <w:rPr>
                <w:rFonts w:hint="eastAsia" w:ascii="仿宋" w:hAnsi="仿宋" w:eastAsia="仿宋" w:cs="宋体"/>
              </w:rPr>
              <w:t>－</w:t>
            </w:r>
          </w:p>
        </w:tc>
      </w:tr>
      <w:tr w14:paraId="151BA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729" w:type="dxa"/>
            <w:noWrap/>
            <w:vAlign w:val="center"/>
          </w:tcPr>
          <w:p w14:paraId="11B4E50D">
            <w:pPr>
              <w:tabs>
                <w:tab w:val="left" w:pos="360"/>
                <w:tab w:val="left" w:pos="2040"/>
              </w:tabs>
              <w:spacing w:line="360" w:lineRule="auto"/>
              <w:rPr>
                <w:rFonts w:hint="eastAsia" w:ascii="仿宋" w:hAnsi="仿宋" w:eastAsia="仿宋" w:cs="宋体"/>
              </w:rPr>
            </w:pPr>
            <w:r>
              <w:rPr>
                <w:rFonts w:hint="eastAsia" w:ascii="仿宋" w:hAnsi="仿宋" w:eastAsia="仿宋" w:cs="宋体"/>
              </w:rPr>
              <w:t>4</w:t>
            </w:r>
          </w:p>
        </w:tc>
        <w:tc>
          <w:tcPr>
            <w:tcW w:w="5362" w:type="dxa"/>
            <w:vAlign w:val="center"/>
          </w:tcPr>
          <w:p w14:paraId="7CA83FE7">
            <w:pPr>
              <w:tabs>
                <w:tab w:val="left" w:pos="360"/>
                <w:tab w:val="left" w:pos="2040"/>
              </w:tabs>
              <w:spacing w:line="360" w:lineRule="auto"/>
              <w:rPr>
                <w:rFonts w:hint="eastAsia" w:ascii="仿宋" w:hAnsi="仿宋" w:eastAsia="仿宋" w:cs="宋体"/>
              </w:rPr>
            </w:pPr>
            <w:r>
              <w:rPr>
                <w:rFonts w:hint="eastAsia" w:ascii="仿宋" w:hAnsi="仿宋" w:eastAsia="仿宋" w:cs="宋体"/>
              </w:rPr>
              <w:t>提供问题定位所需的设备序列号或条码以及设备使用地、故障现象描述以及其他分析问题所需的相关信息，如告警、日志，性能测量，操作记录等。</w:t>
            </w:r>
          </w:p>
        </w:tc>
        <w:tc>
          <w:tcPr>
            <w:tcW w:w="992" w:type="dxa"/>
            <w:noWrap/>
            <w:vAlign w:val="center"/>
          </w:tcPr>
          <w:p w14:paraId="54B756A6">
            <w:pPr>
              <w:tabs>
                <w:tab w:val="left" w:pos="360"/>
                <w:tab w:val="left" w:pos="2040"/>
              </w:tabs>
              <w:spacing w:line="360" w:lineRule="auto"/>
              <w:rPr>
                <w:rFonts w:hint="eastAsia" w:ascii="仿宋" w:hAnsi="仿宋" w:eastAsia="仿宋" w:cs="宋体"/>
              </w:rPr>
            </w:pPr>
            <w:r>
              <w:rPr>
                <w:rFonts w:hint="eastAsia" w:ascii="仿宋" w:hAnsi="仿宋" w:eastAsia="仿宋" w:cs="宋体"/>
              </w:rPr>
              <w:t>协助方</w:t>
            </w:r>
          </w:p>
        </w:tc>
        <w:tc>
          <w:tcPr>
            <w:tcW w:w="1276" w:type="dxa"/>
            <w:noWrap/>
            <w:vAlign w:val="center"/>
          </w:tcPr>
          <w:p w14:paraId="410807C2">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r>
      <w:tr w14:paraId="07C5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729" w:type="dxa"/>
            <w:noWrap/>
            <w:vAlign w:val="center"/>
          </w:tcPr>
          <w:p w14:paraId="450BCAD3">
            <w:pPr>
              <w:tabs>
                <w:tab w:val="left" w:pos="360"/>
                <w:tab w:val="left" w:pos="2040"/>
              </w:tabs>
              <w:spacing w:line="360" w:lineRule="auto"/>
              <w:rPr>
                <w:rFonts w:hint="eastAsia" w:ascii="仿宋" w:hAnsi="仿宋" w:eastAsia="仿宋" w:cs="宋体"/>
              </w:rPr>
            </w:pPr>
            <w:r>
              <w:rPr>
                <w:rFonts w:hint="eastAsia" w:ascii="仿宋" w:hAnsi="仿宋" w:eastAsia="仿宋" w:cs="宋体"/>
              </w:rPr>
              <w:t>5</w:t>
            </w:r>
          </w:p>
        </w:tc>
        <w:tc>
          <w:tcPr>
            <w:tcW w:w="5362" w:type="dxa"/>
            <w:vAlign w:val="center"/>
          </w:tcPr>
          <w:p w14:paraId="1DFFD809">
            <w:pPr>
              <w:tabs>
                <w:tab w:val="left" w:pos="360"/>
                <w:tab w:val="left" w:pos="2040"/>
              </w:tabs>
              <w:spacing w:line="360" w:lineRule="auto"/>
              <w:rPr>
                <w:rFonts w:hint="eastAsia" w:ascii="仿宋" w:hAnsi="仿宋" w:eastAsia="仿宋" w:cs="宋体"/>
              </w:rPr>
            </w:pPr>
            <w:r>
              <w:rPr>
                <w:rFonts w:hint="eastAsia" w:ascii="仿宋" w:hAnsi="仿宋" w:eastAsia="仿宋" w:cs="宋体"/>
              </w:rPr>
              <w:t>提供远程通道以及临时接入帐号及密码，并授权进行远程接入。</w:t>
            </w:r>
          </w:p>
        </w:tc>
        <w:tc>
          <w:tcPr>
            <w:tcW w:w="992" w:type="dxa"/>
            <w:noWrap/>
            <w:vAlign w:val="center"/>
          </w:tcPr>
          <w:p w14:paraId="5E5D3880">
            <w:pPr>
              <w:tabs>
                <w:tab w:val="left" w:pos="360"/>
                <w:tab w:val="left" w:pos="2040"/>
              </w:tabs>
              <w:spacing w:line="360" w:lineRule="auto"/>
              <w:rPr>
                <w:rFonts w:hint="eastAsia" w:ascii="仿宋" w:hAnsi="仿宋" w:eastAsia="仿宋" w:cs="宋体"/>
              </w:rPr>
            </w:pPr>
            <w:r>
              <w:rPr>
                <w:rFonts w:hint="eastAsia" w:ascii="仿宋" w:hAnsi="仿宋" w:eastAsia="仿宋" w:cs="宋体"/>
              </w:rPr>
              <w:t>－</w:t>
            </w:r>
          </w:p>
        </w:tc>
        <w:tc>
          <w:tcPr>
            <w:tcW w:w="1276" w:type="dxa"/>
            <w:noWrap/>
            <w:vAlign w:val="center"/>
          </w:tcPr>
          <w:p w14:paraId="4B2EE5CF">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r>
      <w:tr w14:paraId="5D2D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729" w:type="dxa"/>
            <w:noWrap/>
            <w:vAlign w:val="center"/>
          </w:tcPr>
          <w:p w14:paraId="5217DE78">
            <w:pPr>
              <w:tabs>
                <w:tab w:val="left" w:pos="360"/>
                <w:tab w:val="left" w:pos="2040"/>
              </w:tabs>
              <w:spacing w:line="360" w:lineRule="auto"/>
              <w:rPr>
                <w:rFonts w:hint="eastAsia" w:ascii="仿宋" w:hAnsi="仿宋" w:eastAsia="仿宋" w:cs="宋体"/>
              </w:rPr>
            </w:pPr>
            <w:r>
              <w:rPr>
                <w:rFonts w:hint="eastAsia" w:ascii="仿宋" w:hAnsi="仿宋" w:eastAsia="仿宋" w:cs="宋体"/>
              </w:rPr>
              <w:t>6</w:t>
            </w:r>
          </w:p>
        </w:tc>
        <w:tc>
          <w:tcPr>
            <w:tcW w:w="5362" w:type="dxa"/>
            <w:vAlign w:val="center"/>
          </w:tcPr>
          <w:p w14:paraId="2A472699">
            <w:pPr>
              <w:tabs>
                <w:tab w:val="left" w:pos="360"/>
                <w:tab w:val="left" w:pos="2040"/>
              </w:tabs>
              <w:spacing w:line="360" w:lineRule="auto"/>
              <w:rPr>
                <w:rFonts w:hint="eastAsia" w:ascii="仿宋" w:hAnsi="仿宋" w:eastAsia="仿宋" w:cs="宋体"/>
              </w:rPr>
            </w:pPr>
            <w:r>
              <w:rPr>
                <w:rFonts w:hint="eastAsia" w:ascii="仿宋" w:hAnsi="仿宋" w:eastAsia="仿宋" w:cs="宋体"/>
              </w:rPr>
              <w:t>确认获得客户授权接入设备并通过远程连接方式处理问题（必要时）。</w:t>
            </w:r>
          </w:p>
        </w:tc>
        <w:tc>
          <w:tcPr>
            <w:tcW w:w="992" w:type="dxa"/>
            <w:noWrap/>
            <w:vAlign w:val="center"/>
          </w:tcPr>
          <w:p w14:paraId="0D0056D5">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c>
          <w:tcPr>
            <w:tcW w:w="1276" w:type="dxa"/>
            <w:noWrap/>
            <w:vAlign w:val="center"/>
          </w:tcPr>
          <w:p w14:paraId="65A8CCE9">
            <w:pPr>
              <w:tabs>
                <w:tab w:val="left" w:pos="360"/>
                <w:tab w:val="left" w:pos="2040"/>
              </w:tabs>
              <w:spacing w:line="360" w:lineRule="auto"/>
              <w:rPr>
                <w:rFonts w:hint="eastAsia" w:ascii="仿宋" w:hAnsi="仿宋" w:eastAsia="仿宋" w:cs="宋体"/>
              </w:rPr>
            </w:pPr>
            <w:r>
              <w:rPr>
                <w:rFonts w:hint="eastAsia" w:ascii="仿宋" w:hAnsi="仿宋" w:eastAsia="仿宋" w:cs="宋体"/>
              </w:rPr>
              <w:t>协助方</w:t>
            </w:r>
          </w:p>
        </w:tc>
      </w:tr>
      <w:tr w14:paraId="752B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729" w:type="dxa"/>
            <w:noWrap/>
            <w:vAlign w:val="center"/>
          </w:tcPr>
          <w:p w14:paraId="138954FF">
            <w:pPr>
              <w:tabs>
                <w:tab w:val="left" w:pos="360"/>
                <w:tab w:val="left" w:pos="2040"/>
              </w:tabs>
              <w:spacing w:line="360" w:lineRule="auto"/>
              <w:rPr>
                <w:rFonts w:hint="eastAsia" w:ascii="仿宋" w:hAnsi="仿宋" w:eastAsia="仿宋" w:cs="宋体"/>
              </w:rPr>
            </w:pPr>
            <w:r>
              <w:rPr>
                <w:rFonts w:hint="eastAsia" w:ascii="仿宋" w:hAnsi="仿宋" w:eastAsia="仿宋" w:cs="宋体"/>
              </w:rPr>
              <w:t>7</w:t>
            </w:r>
          </w:p>
        </w:tc>
        <w:tc>
          <w:tcPr>
            <w:tcW w:w="5362" w:type="dxa"/>
            <w:vAlign w:val="center"/>
          </w:tcPr>
          <w:p w14:paraId="2E700106">
            <w:pPr>
              <w:tabs>
                <w:tab w:val="left" w:pos="360"/>
                <w:tab w:val="left" w:pos="2040"/>
              </w:tabs>
              <w:spacing w:line="360" w:lineRule="auto"/>
              <w:rPr>
                <w:rFonts w:hint="eastAsia" w:ascii="仿宋" w:hAnsi="仿宋" w:eastAsia="仿宋" w:cs="宋体"/>
              </w:rPr>
            </w:pPr>
            <w:r>
              <w:rPr>
                <w:rFonts w:hint="eastAsia" w:ascii="仿宋" w:hAnsi="仿宋" w:eastAsia="仿宋" w:cs="宋体"/>
              </w:rPr>
              <w:t>远程进行问题定位和处理。</w:t>
            </w:r>
          </w:p>
        </w:tc>
        <w:tc>
          <w:tcPr>
            <w:tcW w:w="992" w:type="dxa"/>
            <w:noWrap/>
            <w:vAlign w:val="center"/>
          </w:tcPr>
          <w:p w14:paraId="532AE068">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c>
          <w:tcPr>
            <w:tcW w:w="1276" w:type="dxa"/>
            <w:noWrap/>
            <w:vAlign w:val="center"/>
          </w:tcPr>
          <w:p w14:paraId="1AE8B67F">
            <w:pPr>
              <w:tabs>
                <w:tab w:val="left" w:pos="360"/>
                <w:tab w:val="left" w:pos="2040"/>
              </w:tabs>
              <w:spacing w:line="360" w:lineRule="auto"/>
              <w:rPr>
                <w:rFonts w:hint="eastAsia" w:ascii="仿宋" w:hAnsi="仿宋" w:eastAsia="仿宋" w:cs="宋体"/>
              </w:rPr>
            </w:pPr>
            <w:r>
              <w:rPr>
                <w:rFonts w:hint="eastAsia" w:ascii="仿宋" w:hAnsi="仿宋" w:eastAsia="仿宋" w:cs="宋体"/>
              </w:rPr>
              <w:t>协助方</w:t>
            </w:r>
          </w:p>
        </w:tc>
      </w:tr>
      <w:tr w14:paraId="412E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9" w:type="dxa"/>
            <w:noWrap/>
            <w:vAlign w:val="center"/>
          </w:tcPr>
          <w:p w14:paraId="5F602397">
            <w:pPr>
              <w:tabs>
                <w:tab w:val="left" w:pos="360"/>
                <w:tab w:val="left" w:pos="2040"/>
              </w:tabs>
              <w:spacing w:line="360" w:lineRule="auto"/>
              <w:rPr>
                <w:rFonts w:hint="eastAsia" w:ascii="仿宋" w:hAnsi="仿宋" w:eastAsia="仿宋" w:cs="宋体"/>
              </w:rPr>
            </w:pPr>
            <w:r>
              <w:rPr>
                <w:rFonts w:hint="eastAsia" w:ascii="仿宋" w:hAnsi="仿宋" w:eastAsia="仿宋" w:cs="宋体"/>
              </w:rPr>
              <w:t>8</w:t>
            </w:r>
          </w:p>
        </w:tc>
        <w:tc>
          <w:tcPr>
            <w:tcW w:w="5362" w:type="dxa"/>
            <w:vAlign w:val="center"/>
          </w:tcPr>
          <w:p w14:paraId="7187916D">
            <w:pPr>
              <w:tabs>
                <w:tab w:val="left" w:pos="360"/>
                <w:tab w:val="left" w:pos="2040"/>
              </w:tabs>
              <w:spacing w:line="360" w:lineRule="auto"/>
              <w:rPr>
                <w:rFonts w:hint="eastAsia" w:ascii="仿宋" w:hAnsi="仿宋" w:eastAsia="仿宋" w:cs="宋体"/>
              </w:rPr>
            </w:pPr>
            <w:r>
              <w:rPr>
                <w:rFonts w:hint="eastAsia" w:ascii="仿宋" w:hAnsi="仿宋" w:eastAsia="仿宋" w:cs="宋体"/>
              </w:rPr>
              <w:t>提供临时解决方案，将系统恢复至故障前的状态（必要时）。</w:t>
            </w:r>
          </w:p>
        </w:tc>
        <w:tc>
          <w:tcPr>
            <w:tcW w:w="992" w:type="dxa"/>
            <w:noWrap/>
            <w:vAlign w:val="center"/>
          </w:tcPr>
          <w:p w14:paraId="55CB51F4">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c>
          <w:tcPr>
            <w:tcW w:w="1276" w:type="dxa"/>
            <w:noWrap/>
            <w:vAlign w:val="center"/>
          </w:tcPr>
          <w:p w14:paraId="07E4DB94">
            <w:pPr>
              <w:tabs>
                <w:tab w:val="left" w:pos="360"/>
                <w:tab w:val="left" w:pos="2040"/>
              </w:tabs>
              <w:spacing w:line="360" w:lineRule="auto"/>
              <w:rPr>
                <w:rFonts w:hint="eastAsia" w:ascii="仿宋" w:hAnsi="仿宋" w:eastAsia="仿宋" w:cs="宋体"/>
              </w:rPr>
            </w:pPr>
            <w:r>
              <w:rPr>
                <w:rFonts w:hint="eastAsia" w:ascii="仿宋" w:hAnsi="仿宋" w:eastAsia="仿宋" w:cs="宋体"/>
              </w:rPr>
              <w:t>协助方</w:t>
            </w:r>
          </w:p>
        </w:tc>
      </w:tr>
      <w:tr w14:paraId="1290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729" w:type="dxa"/>
            <w:noWrap/>
            <w:vAlign w:val="center"/>
          </w:tcPr>
          <w:p w14:paraId="47E37BB2">
            <w:pPr>
              <w:tabs>
                <w:tab w:val="left" w:pos="360"/>
                <w:tab w:val="left" w:pos="2040"/>
              </w:tabs>
              <w:spacing w:line="360" w:lineRule="auto"/>
              <w:rPr>
                <w:rFonts w:hint="eastAsia" w:ascii="仿宋" w:hAnsi="仿宋" w:eastAsia="仿宋" w:cs="宋体"/>
              </w:rPr>
            </w:pPr>
            <w:r>
              <w:rPr>
                <w:rFonts w:hint="eastAsia" w:ascii="仿宋" w:hAnsi="仿宋" w:eastAsia="仿宋" w:cs="宋体"/>
              </w:rPr>
              <w:t>9</w:t>
            </w:r>
          </w:p>
        </w:tc>
        <w:tc>
          <w:tcPr>
            <w:tcW w:w="5362" w:type="dxa"/>
            <w:vAlign w:val="center"/>
          </w:tcPr>
          <w:p w14:paraId="0D9D737C">
            <w:pPr>
              <w:tabs>
                <w:tab w:val="left" w:pos="360"/>
                <w:tab w:val="left" w:pos="2040"/>
              </w:tabs>
              <w:spacing w:line="360" w:lineRule="auto"/>
              <w:rPr>
                <w:rFonts w:hint="eastAsia" w:ascii="仿宋" w:hAnsi="仿宋" w:eastAsia="仿宋" w:cs="宋体"/>
              </w:rPr>
            </w:pPr>
            <w:r>
              <w:rPr>
                <w:rFonts w:hint="eastAsia" w:ascii="仿宋" w:hAnsi="仿宋" w:eastAsia="仿宋" w:cs="宋体"/>
              </w:rPr>
              <w:t>实施问题解决方案并验证其有效性。</w:t>
            </w:r>
          </w:p>
        </w:tc>
        <w:tc>
          <w:tcPr>
            <w:tcW w:w="992" w:type="dxa"/>
            <w:noWrap/>
            <w:vAlign w:val="center"/>
          </w:tcPr>
          <w:p w14:paraId="64BF791D">
            <w:pPr>
              <w:tabs>
                <w:tab w:val="left" w:pos="360"/>
                <w:tab w:val="left" w:pos="2040"/>
              </w:tabs>
              <w:spacing w:line="360" w:lineRule="auto"/>
              <w:rPr>
                <w:rFonts w:hint="eastAsia" w:ascii="仿宋" w:hAnsi="仿宋" w:eastAsia="仿宋" w:cs="宋体"/>
              </w:rPr>
            </w:pPr>
            <w:r>
              <w:rPr>
                <w:rFonts w:hint="eastAsia" w:ascii="仿宋" w:hAnsi="仿宋" w:eastAsia="仿宋" w:cs="宋体"/>
              </w:rPr>
              <w:t>协助方</w:t>
            </w:r>
          </w:p>
        </w:tc>
        <w:tc>
          <w:tcPr>
            <w:tcW w:w="1276" w:type="dxa"/>
            <w:noWrap/>
            <w:vAlign w:val="center"/>
          </w:tcPr>
          <w:p w14:paraId="5E382B32">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r>
      <w:tr w14:paraId="2616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9" w:type="dxa"/>
            <w:noWrap/>
            <w:vAlign w:val="center"/>
          </w:tcPr>
          <w:p w14:paraId="17C10075">
            <w:pPr>
              <w:tabs>
                <w:tab w:val="left" w:pos="360"/>
                <w:tab w:val="left" w:pos="2040"/>
              </w:tabs>
              <w:spacing w:line="360" w:lineRule="auto"/>
              <w:rPr>
                <w:rFonts w:hint="eastAsia" w:ascii="仿宋" w:hAnsi="仿宋" w:eastAsia="仿宋" w:cs="宋体"/>
              </w:rPr>
            </w:pPr>
            <w:r>
              <w:rPr>
                <w:rFonts w:hint="eastAsia" w:ascii="仿宋" w:hAnsi="仿宋" w:eastAsia="仿宋" w:cs="宋体"/>
              </w:rPr>
              <w:t>10</w:t>
            </w:r>
          </w:p>
        </w:tc>
        <w:tc>
          <w:tcPr>
            <w:tcW w:w="5362" w:type="dxa"/>
            <w:vAlign w:val="center"/>
          </w:tcPr>
          <w:p w14:paraId="4BC9EA14">
            <w:pPr>
              <w:tabs>
                <w:tab w:val="left" w:pos="360"/>
                <w:tab w:val="left" w:pos="2040"/>
              </w:tabs>
              <w:spacing w:line="360" w:lineRule="auto"/>
              <w:rPr>
                <w:rFonts w:hint="eastAsia" w:ascii="仿宋" w:hAnsi="仿宋" w:eastAsia="仿宋" w:cs="宋体"/>
              </w:rPr>
            </w:pPr>
            <w:r>
              <w:rPr>
                <w:rFonts w:hint="eastAsia" w:ascii="仿宋" w:hAnsi="仿宋" w:eastAsia="仿宋" w:cs="宋体"/>
              </w:rPr>
              <w:t>确认解决方案的效果并反馈问题的状态。</w:t>
            </w:r>
          </w:p>
        </w:tc>
        <w:tc>
          <w:tcPr>
            <w:tcW w:w="992" w:type="dxa"/>
            <w:noWrap/>
            <w:vAlign w:val="center"/>
          </w:tcPr>
          <w:p w14:paraId="3559F21D">
            <w:pPr>
              <w:tabs>
                <w:tab w:val="left" w:pos="360"/>
                <w:tab w:val="left" w:pos="2040"/>
              </w:tabs>
              <w:spacing w:line="360" w:lineRule="auto"/>
              <w:rPr>
                <w:rFonts w:hint="eastAsia" w:ascii="仿宋" w:hAnsi="仿宋" w:eastAsia="仿宋" w:cs="宋体"/>
              </w:rPr>
            </w:pPr>
            <w:r>
              <w:rPr>
                <w:rFonts w:hint="eastAsia" w:ascii="仿宋" w:hAnsi="仿宋" w:eastAsia="仿宋" w:cs="宋体"/>
              </w:rPr>
              <w:t>－</w:t>
            </w:r>
          </w:p>
        </w:tc>
        <w:tc>
          <w:tcPr>
            <w:tcW w:w="1276" w:type="dxa"/>
            <w:noWrap/>
            <w:vAlign w:val="center"/>
          </w:tcPr>
          <w:p w14:paraId="02FDBCC2">
            <w:pPr>
              <w:tabs>
                <w:tab w:val="left" w:pos="360"/>
                <w:tab w:val="left" w:pos="2040"/>
              </w:tabs>
              <w:spacing w:line="360" w:lineRule="auto"/>
              <w:rPr>
                <w:rFonts w:hint="eastAsia" w:ascii="仿宋" w:hAnsi="仿宋" w:eastAsia="仿宋" w:cs="宋体"/>
              </w:rPr>
            </w:pPr>
            <w:r>
              <w:rPr>
                <w:rFonts w:hint="eastAsia" w:ascii="仿宋" w:hAnsi="仿宋" w:eastAsia="仿宋" w:cs="宋体"/>
              </w:rPr>
              <w:t>责任方</w:t>
            </w:r>
          </w:p>
        </w:tc>
      </w:tr>
    </w:tbl>
    <w:p w14:paraId="0E915A83">
      <w:pPr>
        <w:tabs>
          <w:tab w:val="decimal" w:pos="0"/>
        </w:tabs>
        <w:spacing w:line="360" w:lineRule="auto"/>
        <w:ind w:firstLine="480"/>
        <w:rPr>
          <w:rFonts w:hint="eastAsia" w:ascii="仿宋" w:hAnsi="仿宋" w:eastAsia="仿宋" w:cs="宋体"/>
        </w:rPr>
      </w:pPr>
    </w:p>
    <w:p w14:paraId="10C8BB77">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软件更新授权</w:t>
      </w:r>
    </w:p>
    <w:p w14:paraId="3145CEF0">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为确保用户购买设备的稳定运行，向用户提供软件修正补丁，由用户自行安装。补丁是指设备生产厂家对原授权软件所做的修正和补充，是此版本软件运行过程中已发现问题的解决措施，这些软件补丁都在实际应用环境或者模拟实验网中得到改进和验证，将对原授权软件起到消除运行隐患的作用。</w:t>
      </w:r>
    </w:p>
    <w:p w14:paraId="3E45EE0C">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备件先行服务</w:t>
      </w:r>
    </w:p>
    <w:p w14:paraId="657F85AF">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备件先行服务是指在通过用户的备件服务申请后，服务提供方提前提供更换件给用户，并提供故障件提取服务，用户需要在收到提供的更换部件后，在15个工作日内将故障件准备好（请使用更换件的包材装好），服务提供方承担将故障件返还的所有相关运输和保险费用。</w:t>
      </w:r>
    </w:p>
    <w:p w14:paraId="09B8BA94">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更换件可能是新件或者是同等类型和功能的好件（如该型号产品已停止生产且库存备件耗尽，将向用户提供不低于原件性能的其它型号设备或单板进行更换）。向用户提供的更换件归用户所有，而用户原有的故障件归服务提供方所有，如果用户由于数据安全、保密等原因，不能返还故障部件或已对硬盘进行了消磁处理，用户另行承担故障件保留费用，服务提供方对于已进行消磁处理的硬盘不予更换。</w:t>
      </w:r>
    </w:p>
    <w:p w14:paraId="2B8E0712">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经更换过的产品/部件，可以获得维修完成发货之日起或设备更换之日起 90 天的维保服务，或者继续获得原有的剩余维保期服务，以两者中较长的时间为准。</w:t>
      </w:r>
    </w:p>
    <w:p w14:paraId="3600954A">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备件服务响应时间表：</w:t>
      </w:r>
    </w:p>
    <w:tbl>
      <w:tblPr>
        <w:tblStyle w:val="10"/>
        <w:tblW w:w="4867" w:type="pct"/>
        <w:jc w:val="center"/>
        <w:tblLayout w:type="autofit"/>
        <w:tblCellMar>
          <w:top w:w="0" w:type="dxa"/>
          <w:left w:w="108" w:type="dxa"/>
          <w:bottom w:w="0" w:type="dxa"/>
          <w:right w:w="108" w:type="dxa"/>
        </w:tblCellMar>
      </w:tblPr>
      <w:tblGrid>
        <w:gridCol w:w="1213"/>
        <w:gridCol w:w="2568"/>
        <w:gridCol w:w="2476"/>
        <w:gridCol w:w="2038"/>
      </w:tblGrid>
      <w:tr w14:paraId="448F8C35">
        <w:tblPrEx>
          <w:tblCellMar>
            <w:top w:w="0" w:type="dxa"/>
            <w:left w:w="108" w:type="dxa"/>
            <w:bottom w:w="0" w:type="dxa"/>
            <w:right w:w="108" w:type="dxa"/>
          </w:tblCellMar>
        </w:tblPrEx>
        <w:trPr>
          <w:trHeight w:val="288" w:hRule="atLeast"/>
          <w:jc w:val="center"/>
        </w:trPr>
        <w:tc>
          <w:tcPr>
            <w:tcW w:w="1181" w:type="dxa"/>
            <w:tcBorders>
              <w:top w:val="single" w:color="auto" w:sz="4" w:space="0"/>
              <w:left w:val="single" w:color="auto" w:sz="4" w:space="0"/>
              <w:bottom w:val="single" w:color="auto" w:sz="4" w:space="0"/>
              <w:right w:val="single" w:color="auto" w:sz="4" w:space="0"/>
            </w:tcBorders>
            <w:vAlign w:val="center"/>
          </w:tcPr>
          <w:p w14:paraId="1C1DD3C8">
            <w:pPr>
              <w:tabs>
                <w:tab w:val="left" w:pos="360"/>
                <w:tab w:val="left" w:pos="2040"/>
              </w:tabs>
              <w:spacing w:line="360" w:lineRule="auto"/>
              <w:rPr>
                <w:rFonts w:hint="eastAsia" w:ascii="仿宋" w:hAnsi="仿宋" w:eastAsia="仿宋" w:cs="宋体"/>
              </w:rPr>
            </w:pPr>
            <w:r>
              <w:rPr>
                <w:rFonts w:hint="eastAsia" w:ascii="仿宋" w:hAnsi="仿宋" w:eastAsia="仿宋" w:cs="宋体"/>
              </w:rPr>
              <w:t>适用城市</w:t>
            </w:r>
          </w:p>
        </w:tc>
        <w:tc>
          <w:tcPr>
            <w:tcW w:w="2500" w:type="dxa"/>
            <w:tcBorders>
              <w:top w:val="single" w:color="auto" w:sz="4" w:space="0"/>
              <w:left w:val="nil"/>
              <w:bottom w:val="single" w:color="auto" w:sz="4" w:space="0"/>
              <w:right w:val="single" w:color="auto" w:sz="4" w:space="0"/>
            </w:tcBorders>
            <w:vAlign w:val="center"/>
          </w:tcPr>
          <w:p w14:paraId="7E4355E3">
            <w:pPr>
              <w:tabs>
                <w:tab w:val="left" w:pos="360"/>
                <w:tab w:val="left" w:pos="2040"/>
              </w:tabs>
              <w:spacing w:line="360" w:lineRule="auto"/>
              <w:rPr>
                <w:rFonts w:hint="eastAsia" w:ascii="仿宋" w:hAnsi="仿宋" w:eastAsia="仿宋" w:cs="宋体"/>
              </w:rPr>
            </w:pPr>
            <w:r>
              <w:rPr>
                <w:rFonts w:hint="eastAsia" w:ascii="仿宋" w:hAnsi="仿宋" w:eastAsia="仿宋" w:cs="宋体"/>
              </w:rPr>
              <w:t xml:space="preserve">现场与服务中心距离 </w:t>
            </w:r>
          </w:p>
        </w:tc>
        <w:tc>
          <w:tcPr>
            <w:tcW w:w="2410" w:type="dxa"/>
            <w:tcBorders>
              <w:top w:val="single" w:color="auto" w:sz="4" w:space="0"/>
              <w:left w:val="nil"/>
              <w:bottom w:val="single" w:color="auto" w:sz="4" w:space="0"/>
              <w:right w:val="single" w:color="auto" w:sz="4" w:space="0"/>
            </w:tcBorders>
            <w:vAlign w:val="center"/>
          </w:tcPr>
          <w:p w14:paraId="3E384748">
            <w:pPr>
              <w:tabs>
                <w:tab w:val="left" w:pos="360"/>
                <w:tab w:val="left" w:pos="2040"/>
              </w:tabs>
              <w:spacing w:line="360" w:lineRule="auto"/>
              <w:rPr>
                <w:rFonts w:hint="eastAsia" w:ascii="仿宋" w:hAnsi="仿宋" w:eastAsia="仿宋" w:cs="宋体"/>
              </w:rPr>
            </w:pPr>
            <w:r>
              <w:rPr>
                <w:rFonts w:hint="eastAsia" w:ascii="仿宋" w:hAnsi="仿宋" w:eastAsia="仿宋" w:cs="宋体"/>
              </w:rPr>
              <w:t>P1/P2问题送达SLA</w:t>
            </w:r>
          </w:p>
        </w:tc>
        <w:tc>
          <w:tcPr>
            <w:tcW w:w="1984" w:type="dxa"/>
            <w:tcBorders>
              <w:top w:val="single" w:color="auto" w:sz="4" w:space="0"/>
              <w:left w:val="nil"/>
              <w:bottom w:val="single" w:color="auto" w:sz="4" w:space="0"/>
              <w:right w:val="single" w:color="auto" w:sz="4" w:space="0"/>
            </w:tcBorders>
            <w:vAlign w:val="center"/>
          </w:tcPr>
          <w:p w14:paraId="0034754F">
            <w:pPr>
              <w:tabs>
                <w:tab w:val="left" w:pos="360"/>
                <w:tab w:val="left" w:pos="2040"/>
              </w:tabs>
              <w:spacing w:line="360" w:lineRule="auto"/>
              <w:rPr>
                <w:rFonts w:hint="eastAsia" w:ascii="仿宋" w:hAnsi="仿宋" w:eastAsia="仿宋" w:cs="宋体"/>
              </w:rPr>
            </w:pPr>
            <w:r>
              <w:rPr>
                <w:rFonts w:hint="eastAsia" w:ascii="仿宋" w:hAnsi="仿宋" w:eastAsia="仿宋" w:cs="宋体"/>
              </w:rPr>
              <w:t>P3问题送达SLA</w:t>
            </w:r>
          </w:p>
        </w:tc>
      </w:tr>
      <w:tr w14:paraId="41FB4E40">
        <w:tblPrEx>
          <w:tblCellMar>
            <w:top w:w="0" w:type="dxa"/>
            <w:left w:w="108" w:type="dxa"/>
            <w:bottom w:w="0" w:type="dxa"/>
            <w:right w:w="108" w:type="dxa"/>
          </w:tblCellMar>
        </w:tblPrEx>
        <w:trPr>
          <w:trHeight w:val="288" w:hRule="atLeast"/>
          <w:jc w:val="center"/>
        </w:trPr>
        <w:tc>
          <w:tcPr>
            <w:tcW w:w="1181" w:type="dxa"/>
            <w:vMerge w:val="restart"/>
            <w:tcBorders>
              <w:top w:val="nil"/>
              <w:left w:val="single" w:color="auto" w:sz="4" w:space="0"/>
              <w:bottom w:val="single" w:color="auto" w:sz="4" w:space="0"/>
              <w:right w:val="single" w:color="auto" w:sz="4" w:space="0"/>
            </w:tcBorders>
            <w:vAlign w:val="center"/>
          </w:tcPr>
          <w:p w14:paraId="6F51E036">
            <w:pPr>
              <w:tabs>
                <w:tab w:val="left" w:pos="360"/>
                <w:tab w:val="left" w:pos="2040"/>
              </w:tabs>
              <w:spacing w:line="360" w:lineRule="auto"/>
              <w:rPr>
                <w:rFonts w:hint="eastAsia" w:ascii="仿宋" w:hAnsi="仿宋" w:eastAsia="仿宋" w:cs="宋体"/>
              </w:rPr>
            </w:pPr>
            <w:r>
              <w:rPr>
                <w:rFonts w:hint="eastAsia" w:ascii="仿宋" w:hAnsi="仿宋" w:eastAsia="仿宋" w:cs="宋体"/>
              </w:rPr>
              <w:t>所有城市</w:t>
            </w:r>
          </w:p>
        </w:tc>
        <w:tc>
          <w:tcPr>
            <w:tcW w:w="2500" w:type="dxa"/>
            <w:tcBorders>
              <w:top w:val="nil"/>
              <w:left w:val="nil"/>
              <w:bottom w:val="single" w:color="auto" w:sz="4" w:space="0"/>
              <w:right w:val="single" w:color="auto" w:sz="4" w:space="0"/>
            </w:tcBorders>
            <w:vAlign w:val="center"/>
          </w:tcPr>
          <w:p w14:paraId="7FDC6EA6">
            <w:pPr>
              <w:tabs>
                <w:tab w:val="left" w:pos="360"/>
                <w:tab w:val="left" w:pos="2040"/>
              </w:tabs>
              <w:spacing w:line="360" w:lineRule="auto"/>
              <w:rPr>
                <w:rFonts w:hint="eastAsia" w:ascii="仿宋" w:hAnsi="仿宋" w:eastAsia="仿宋" w:cs="宋体"/>
              </w:rPr>
            </w:pPr>
            <w:r>
              <w:rPr>
                <w:rFonts w:hint="eastAsia" w:ascii="仿宋" w:hAnsi="仿宋" w:eastAsia="仿宋" w:cs="宋体"/>
              </w:rPr>
              <w:t>&lt;100公里</w:t>
            </w:r>
          </w:p>
        </w:tc>
        <w:tc>
          <w:tcPr>
            <w:tcW w:w="2410" w:type="dxa"/>
            <w:tcBorders>
              <w:top w:val="nil"/>
              <w:left w:val="nil"/>
              <w:bottom w:val="single" w:color="auto" w:sz="4" w:space="0"/>
              <w:right w:val="single" w:color="auto" w:sz="4" w:space="0"/>
            </w:tcBorders>
            <w:vAlign w:val="center"/>
          </w:tcPr>
          <w:p w14:paraId="36B56813">
            <w:pPr>
              <w:tabs>
                <w:tab w:val="left" w:pos="360"/>
                <w:tab w:val="left" w:pos="2040"/>
              </w:tabs>
              <w:spacing w:line="360" w:lineRule="auto"/>
              <w:rPr>
                <w:rFonts w:hint="eastAsia" w:ascii="仿宋" w:hAnsi="仿宋" w:eastAsia="仿宋" w:cs="宋体"/>
              </w:rPr>
            </w:pPr>
            <w:r>
              <w:rPr>
                <w:rFonts w:hint="eastAsia" w:ascii="仿宋" w:hAnsi="仿宋" w:eastAsia="仿宋" w:cs="宋体"/>
              </w:rPr>
              <w:t>6小时内</w:t>
            </w:r>
          </w:p>
        </w:tc>
        <w:tc>
          <w:tcPr>
            <w:tcW w:w="1984" w:type="dxa"/>
            <w:tcBorders>
              <w:top w:val="nil"/>
              <w:left w:val="nil"/>
              <w:bottom w:val="single" w:color="auto" w:sz="4" w:space="0"/>
              <w:right w:val="single" w:color="auto" w:sz="4" w:space="0"/>
            </w:tcBorders>
            <w:vAlign w:val="center"/>
          </w:tcPr>
          <w:p w14:paraId="695A5331">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42C5D97F">
        <w:tblPrEx>
          <w:tblCellMar>
            <w:top w:w="0" w:type="dxa"/>
            <w:left w:w="108" w:type="dxa"/>
            <w:bottom w:w="0" w:type="dxa"/>
            <w:right w:w="108" w:type="dxa"/>
          </w:tblCellMar>
        </w:tblPrEx>
        <w:trPr>
          <w:trHeight w:val="288" w:hRule="atLeast"/>
          <w:jc w:val="center"/>
        </w:trPr>
        <w:tc>
          <w:tcPr>
            <w:tcW w:w="1181" w:type="dxa"/>
            <w:vMerge w:val="continue"/>
            <w:tcBorders>
              <w:top w:val="nil"/>
              <w:left w:val="single" w:color="auto" w:sz="4" w:space="0"/>
              <w:bottom w:val="single" w:color="auto" w:sz="4" w:space="0"/>
              <w:right w:val="single" w:color="auto" w:sz="4" w:space="0"/>
            </w:tcBorders>
            <w:vAlign w:val="center"/>
          </w:tcPr>
          <w:p w14:paraId="7CF8C7F9">
            <w:pPr>
              <w:tabs>
                <w:tab w:val="left" w:pos="360"/>
                <w:tab w:val="left" w:pos="2040"/>
              </w:tabs>
              <w:spacing w:line="360" w:lineRule="auto"/>
              <w:rPr>
                <w:rFonts w:hint="eastAsia" w:ascii="仿宋" w:hAnsi="仿宋" w:eastAsia="仿宋" w:cs="宋体"/>
              </w:rPr>
            </w:pPr>
          </w:p>
        </w:tc>
        <w:tc>
          <w:tcPr>
            <w:tcW w:w="2500" w:type="dxa"/>
            <w:tcBorders>
              <w:top w:val="nil"/>
              <w:left w:val="nil"/>
              <w:bottom w:val="single" w:color="auto" w:sz="4" w:space="0"/>
              <w:right w:val="single" w:color="auto" w:sz="4" w:space="0"/>
            </w:tcBorders>
            <w:vAlign w:val="center"/>
          </w:tcPr>
          <w:p w14:paraId="6BC91C4C">
            <w:pPr>
              <w:tabs>
                <w:tab w:val="left" w:pos="360"/>
                <w:tab w:val="left" w:pos="2040"/>
              </w:tabs>
              <w:spacing w:line="360" w:lineRule="auto"/>
              <w:rPr>
                <w:rFonts w:hint="eastAsia" w:ascii="仿宋" w:hAnsi="仿宋" w:eastAsia="仿宋" w:cs="宋体"/>
              </w:rPr>
            </w:pPr>
            <w:r>
              <w:rPr>
                <w:rFonts w:hint="eastAsia" w:ascii="仿宋" w:hAnsi="仿宋" w:eastAsia="仿宋" w:cs="宋体"/>
              </w:rPr>
              <w:t>100-200公里</w:t>
            </w:r>
          </w:p>
        </w:tc>
        <w:tc>
          <w:tcPr>
            <w:tcW w:w="2410" w:type="dxa"/>
            <w:tcBorders>
              <w:top w:val="nil"/>
              <w:left w:val="nil"/>
              <w:bottom w:val="single" w:color="auto" w:sz="4" w:space="0"/>
              <w:right w:val="single" w:color="auto" w:sz="4" w:space="0"/>
            </w:tcBorders>
            <w:vAlign w:val="center"/>
          </w:tcPr>
          <w:p w14:paraId="0E3536C0">
            <w:pPr>
              <w:tabs>
                <w:tab w:val="left" w:pos="360"/>
                <w:tab w:val="left" w:pos="2040"/>
              </w:tabs>
              <w:spacing w:line="360" w:lineRule="auto"/>
              <w:rPr>
                <w:rFonts w:hint="eastAsia" w:ascii="仿宋" w:hAnsi="仿宋" w:eastAsia="仿宋" w:cs="宋体"/>
              </w:rPr>
            </w:pPr>
            <w:r>
              <w:rPr>
                <w:rFonts w:hint="eastAsia" w:ascii="仿宋" w:hAnsi="仿宋" w:eastAsia="仿宋" w:cs="宋体"/>
              </w:rPr>
              <w:t>8小时内</w:t>
            </w:r>
          </w:p>
        </w:tc>
        <w:tc>
          <w:tcPr>
            <w:tcW w:w="1984" w:type="dxa"/>
            <w:tcBorders>
              <w:top w:val="nil"/>
              <w:left w:val="nil"/>
              <w:bottom w:val="single" w:color="auto" w:sz="4" w:space="0"/>
              <w:right w:val="single" w:color="auto" w:sz="4" w:space="0"/>
            </w:tcBorders>
            <w:vAlign w:val="center"/>
          </w:tcPr>
          <w:p w14:paraId="74A33433">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54104CCA">
        <w:tblPrEx>
          <w:tblCellMar>
            <w:top w:w="0" w:type="dxa"/>
            <w:left w:w="108" w:type="dxa"/>
            <w:bottom w:w="0" w:type="dxa"/>
            <w:right w:w="108" w:type="dxa"/>
          </w:tblCellMar>
        </w:tblPrEx>
        <w:trPr>
          <w:trHeight w:val="288" w:hRule="atLeast"/>
          <w:jc w:val="center"/>
        </w:trPr>
        <w:tc>
          <w:tcPr>
            <w:tcW w:w="1181" w:type="dxa"/>
            <w:vMerge w:val="continue"/>
            <w:tcBorders>
              <w:top w:val="nil"/>
              <w:left w:val="single" w:color="auto" w:sz="4" w:space="0"/>
              <w:bottom w:val="single" w:color="auto" w:sz="4" w:space="0"/>
              <w:right w:val="single" w:color="auto" w:sz="4" w:space="0"/>
            </w:tcBorders>
            <w:vAlign w:val="center"/>
          </w:tcPr>
          <w:p w14:paraId="425933D6">
            <w:pPr>
              <w:tabs>
                <w:tab w:val="left" w:pos="360"/>
                <w:tab w:val="left" w:pos="2040"/>
              </w:tabs>
              <w:spacing w:line="360" w:lineRule="auto"/>
              <w:rPr>
                <w:rFonts w:hint="eastAsia" w:ascii="仿宋" w:hAnsi="仿宋" w:eastAsia="仿宋" w:cs="宋体"/>
              </w:rPr>
            </w:pPr>
          </w:p>
        </w:tc>
        <w:tc>
          <w:tcPr>
            <w:tcW w:w="2500" w:type="dxa"/>
            <w:tcBorders>
              <w:top w:val="nil"/>
              <w:left w:val="nil"/>
              <w:bottom w:val="single" w:color="auto" w:sz="4" w:space="0"/>
              <w:right w:val="single" w:color="auto" w:sz="4" w:space="0"/>
            </w:tcBorders>
            <w:vAlign w:val="center"/>
          </w:tcPr>
          <w:p w14:paraId="32A79290">
            <w:pPr>
              <w:tabs>
                <w:tab w:val="left" w:pos="360"/>
                <w:tab w:val="left" w:pos="2040"/>
              </w:tabs>
              <w:spacing w:line="360" w:lineRule="auto"/>
              <w:rPr>
                <w:rFonts w:hint="eastAsia" w:ascii="仿宋" w:hAnsi="仿宋" w:eastAsia="仿宋" w:cs="宋体"/>
              </w:rPr>
            </w:pPr>
            <w:r>
              <w:rPr>
                <w:rFonts w:hint="eastAsia" w:ascii="仿宋" w:hAnsi="仿宋" w:eastAsia="仿宋" w:cs="宋体"/>
              </w:rPr>
              <w:t>200-300公里</w:t>
            </w:r>
          </w:p>
        </w:tc>
        <w:tc>
          <w:tcPr>
            <w:tcW w:w="2410" w:type="dxa"/>
            <w:tcBorders>
              <w:top w:val="nil"/>
              <w:left w:val="nil"/>
              <w:bottom w:val="single" w:color="auto" w:sz="4" w:space="0"/>
              <w:right w:val="single" w:color="auto" w:sz="4" w:space="0"/>
            </w:tcBorders>
            <w:vAlign w:val="center"/>
          </w:tcPr>
          <w:p w14:paraId="192864E9">
            <w:pPr>
              <w:tabs>
                <w:tab w:val="left" w:pos="360"/>
                <w:tab w:val="left" w:pos="2040"/>
              </w:tabs>
              <w:spacing w:line="360" w:lineRule="auto"/>
              <w:rPr>
                <w:rFonts w:hint="eastAsia" w:ascii="仿宋" w:hAnsi="仿宋" w:eastAsia="仿宋" w:cs="宋体"/>
              </w:rPr>
            </w:pPr>
            <w:r>
              <w:rPr>
                <w:rFonts w:hint="eastAsia" w:ascii="仿宋" w:hAnsi="仿宋" w:eastAsia="仿宋" w:cs="宋体"/>
              </w:rPr>
              <w:t>10小时内</w:t>
            </w:r>
          </w:p>
        </w:tc>
        <w:tc>
          <w:tcPr>
            <w:tcW w:w="1984" w:type="dxa"/>
            <w:tcBorders>
              <w:top w:val="nil"/>
              <w:left w:val="nil"/>
              <w:bottom w:val="single" w:color="auto" w:sz="4" w:space="0"/>
              <w:right w:val="single" w:color="auto" w:sz="4" w:space="0"/>
            </w:tcBorders>
            <w:vAlign w:val="center"/>
          </w:tcPr>
          <w:p w14:paraId="64A9C292">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694701EC">
        <w:tblPrEx>
          <w:tblCellMar>
            <w:top w:w="0" w:type="dxa"/>
            <w:left w:w="108" w:type="dxa"/>
            <w:bottom w:w="0" w:type="dxa"/>
            <w:right w:w="108" w:type="dxa"/>
          </w:tblCellMar>
        </w:tblPrEx>
        <w:trPr>
          <w:trHeight w:val="288" w:hRule="atLeast"/>
          <w:jc w:val="center"/>
        </w:trPr>
        <w:tc>
          <w:tcPr>
            <w:tcW w:w="1181" w:type="dxa"/>
            <w:vMerge w:val="continue"/>
            <w:tcBorders>
              <w:top w:val="single" w:color="auto" w:sz="4" w:space="0"/>
              <w:left w:val="single" w:color="auto" w:sz="4" w:space="0"/>
              <w:bottom w:val="single" w:color="auto" w:sz="4" w:space="0"/>
              <w:right w:val="single" w:color="auto" w:sz="4" w:space="0"/>
            </w:tcBorders>
            <w:vAlign w:val="center"/>
          </w:tcPr>
          <w:p w14:paraId="35EC21EA">
            <w:pPr>
              <w:tabs>
                <w:tab w:val="left" w:pos="360"/>
                <w:tab w:val="left" w:pos="2040"/>
              </w:tabs>
              <w:spacing w:line="360" w:lineRule="auto"/>
              <w:rPr>
                <w:rFonts w:hint="eastAsia" w:ascii="仿宋" w:hAnsi="仿宋" w:eastAsia="仿宋" w:cs="宋体"/>
              </w:rPr>
            </w:pPr>
          </w:p>
        </w:tc>
        <w:tc>
          <w:tcPr>
            <w:tcW w:w="2500" w:type="dxa"/>
            <w:tcBorders>
              <w:top w:val="single" w:color="auto" w:sz="4" w:space="0"/>
              <w:left w:val="single" w:color="auto" w:sz="4" w:space="0"/>
              <w:bottom w:val="single" w:color="auto" w:sz="4" w:space="0"/>
              <w:right w:val="single" w:color="auto" w:sz="4" w:space="0"/>
            </w:tcBorders>
            <w:vAlign w:val="center"/>
          </w:tcPr>
          <w:p w14:paraId="00C46E43">
            <w:pPr>
              <w:tabs>
                <w:tab w:val="left" w:pos="360"/>
                <w:tab w:val="left" w:pos="2040"/>
              </w:tabs>
              <w:spacing w:line="360" w:lineRule="auto"/>
              <w:rPr>
                <w:rFonts w:hint="eastAsia" w:ascii="仿宋" w:hAnsi="仿宋" w:eastAsia="仿宋" w:cs="宋体"/>
              </w:rPr>
            </w:pPr>
            <w:r>
              <w:rPr>
                <w:rFonts w:hint="eastAsia" w:ascii="仿宋" w:hAnsi="仿宋" w:eastAsia="仿宋" w:cs="宋体"/>
              </w:rPr>
              <w:t>300-400公里</w:t>
            </w:r>
          </w:p>
        </w:tc>
        <w:tc>
          <w:tcPr>
            <w:tcW w:w="2410" w:type="dxa"/>
            <w:tcBorders>
              <w:top w:val="single" w:color="auto" w:sz="4" w:space="0"/>
              <w:left w:val="single" w:color="auto" w:sz="4" w:space="0"/>
              <w:bottom w:val="single" w:color="auto" w:sz="4" w:space="0"/>
              <w:right w:val="single" w:color="auto" w:sz="4" w:space="0"/>
            </w:tcBorders>
            <w:vAlign w:val="center"/>
          </w:tcPr>
          <w:p w14:paraId="0EB5D8F4">
            <w:pPr>
              <w:tabs>
                <w:tab w:val="left" w:pos="360"/>
                <w:tab w:val="left" w:pos="2040"/>
              </w:tabs>
              <w:spacing w:line="360" w:lineRule="auto"/>
              <w:rPr>
                <w:rFonts w:hint="eastAsia" w:ascii="仿宋" w:hAnsi="仿宋" w:eastAsia="仿宋" w:cs="宋体"/>
              </w:rPr>
            </w:pPr>
            <w:r>
              <w:rPr>
                <w:rFonts w:hint="eastAsia" w:ascii="仿宋" w:hAnsi="仿宋" w:eastAsia="仿宋" w:cs="宋体"/>
              </w:rPr>
              <w:t>12小时内</w:t>
            </w:r>
          </w:p>
        </w:tc>
        <w:tc>
          <w:tcPr>
            <w:tcW w:w="1984" w:type="dxa"/>
            <w:tcBorders>
              <w:top w:val="single" w:color="auto" w:sz="4" w:space="0"/>
              <w:left w:val="single" w:color="auto" w:sz="4" w:space="0"/>
              <w:bottom w:val="single" w:color="auto" w:sz="4" w:space="0"/>
              <w:right w:val="single" w:color="auto" w:sz="4" w:space="0"/>
            </w:tcBorders>
            <w:vAlign w:val="center"/>
          </w:tcPr>
          <w:p w14:paraId="0590899E">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46905AFD">
        <w:tblPrEx>
          <w:tblCellMar>
            <w:top w:w="0" w:type="dxa"/>
            <w:left w:w="108" w:type="dxa"/>
            <w:bottom w:w="0" w:type="dxa"/>
            <w:right w:w="108" w:type="dxa"/>
          </w:tblCellMar>
        </w:tblPrEx>
        <w:trPr>
          <w:trHeight w:val="552" w:hRule="atLeast"/>
          <w:jc w:val="center"/>
        </w:trPr>
        <w:tc>
          <w:tcPr>
            <w:tcW w:w="8075" w:type="dxa"/>
            <w:gridSpan w:val="4"/>
            <w:tcBorders>
              <w:top w:val="single" w:color="auto" w:sz="4" w:space="0"/>
              <w:left w:val="single" w:color="auto" w:sz="4" w:space="0"/>
              <w:bottom w:val="single" w:color="auto" w:sz="4" w:space="0"/>
              <w:right w:val="single" w:color="auto" w:sz="4" w:space="0"/>
            </w:tcBorders>
          </w:tcPr>
          <w:p w14:paraId="40B67869">
            <w:pPr>
              <w:tabs>
                <w:tab w:val="left" w:pos="360"/>
                <w:tab w:val="left" w:pos="2040"/>
              </w:tabs>
              <w:spacing w:line="360" w:lineRule="auto"/>
              <w:rPr>
                <w:rFonts w:hint="eastAsia" w:ascii="仿宋" w:hAnsi="仿宋" w:eastAsia="仿宋" w:cs="宋体"/>
              </w:rPr>
            </w:pPr>
            <w:r>
              <w:rPr>
                <w:rFonts w:hint="eastAsia" w:ascii="仿宋" w:hAnsi="仿宋" w:eastAsia="仿宋" w:cs="宋体"/>
              </w:rPr>
              <w:t>备注：若用户所在城市距离服务中心路程400公里以上，将根据实际交通状况等具体条件与用户协商决定备件服务时间。</w:t>
            </w:r>
          </w:p>
        </w:tc>
      </w:tr>
    </w:tbl>
    <w:p w14:paraId="03D049B1">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其中广州按</w:t>
      </w:r>
      <w:r>
        <w:rPr>
          <w:rFonts w:hint="eastAsia" w:ascii="仿宋" w:hAnsi="仿宋" w:eastAsia="仿宋" w:cs="宋体"/>
          <w:kern w:val="0"/>
          <w:sz w:val="24"/>
        </w:rPr>
        <w:t>&lt;100公里标准提供服务。</w:t>
      </w:r>
    </w:p>
    <w:p w14:paraId="4BA520A6">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说明：有关名词定义如下（后同）：</w:t>
      </w:r>
    </w:p>
    <w:p w14:paraId="2CB325EE">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1)P1问题:出现严重故障，对客户网络和业务运营造成严重影响，涵盖最终用户在使用过程中发现的所有服务中断或网络功能损坏类的事件。</w:t>
      </w:r>
    </w:p>
    <w:p w14:paraId="7CE423D2">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)P2问题:对业务运营造成显著影响，故障有可能导致业务中断，产品部分操作不可用，但是仍能使用，对用户相关的领域没有影响，或影响可以设法规避。</w:t>
      </w:r>
    </w:p>
    <w:p w14:paraId="455DD0C2">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(3</w:t>
      </w:r>
      <w:r>
        <w:rPr>
          <w:rFonts w:hint="eastAsia" w:ascii="仿宋" w:hAnsi="仿宋" w:eastAsia="仿宋" w:cs="宋体"/>
          <w:kern w:val="0"/>
          <w:sz w:val="24"/>
        </w:rPr>
        <w:t>)P3问题:对业务运营造成有限的影响，故障并不影响网络服务或功能，产品仍能运转，但功能受限。此类情景不紧急，并未对客户整体业务运作造成严重限制。</w:t>
      </w:r>
    </w:p>
    <w:p w14:paraId="3562ECAA">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4)ND:下一日到达/送达，每日15:30以后申请的备件先行、硬件更换服务将视为下一日提交。</w:t>
      </w:r>
    </w:p>
    <w:p w14:paraId="2F9B43B3">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5)S</w:t>
      </w:r>
      <w:r>
        <w:rPr>
          <w:rFonts w:ascii="仿宋" w:hAnsi="仿宋" w:eastAsia="仿宋" w:cs="宋体"/>
          <w:kern w:val="0"/>
          <w:sz w:val="24"/>
        </w:rPr>
        <w:t>LA：</w:t>
      </w:r>
      <w:r>
        <w:rPr>
          <w:rFonts w:hint="eastAsia" w:ascii="仿宋" w:hAnsi="仿宋" w:eastAsia="仿宋" w:cs="宋体"/>
          <w:kern w:val="0"/>
          <w:sz w:val="24"/>
        </w:rPr>
        <w:t>S</w:t>
      </w:r>
      <w:r>
        <w:rPr>
          <w:rFonts w:ascii="仿宋" w:hAnsi="仿宋" w:eastAsia="仿宋" w:cs="宋体"/>
          <w:kern w:val="0"/>
          <w:sz w:val="24"/>
        </w:rPr>
        <w:t>ervice Level Agreements，维保服务级别协议</w:t>
      </w:r>
      <w:r>
        <w:rPr>
          <w:rFonts w:hint="eastAsia" w:ascii="仿宋" w:hAnsi="仿宋" w:eastAsia="仿宋" w:cs="宋体"/>
          <w:kern w:val="0"/>
          <w:sz w:val="24"/>
        </w:rPr>
        <w:t>。</w:t>
      </w:r>
    </w:p>
    <w:p w14:paraId="67F1011F">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现场工程师硬件更换服务</w:t>
      </w:r>
    </w:p>
    <w:p w14:paraId="611067E7">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对于定位为需要硬件更换才能解决的问题，服务提供方需安排经验丰富的技术支持工程师在服务协议规定时间内赴用户现场，进行现场硬件更换，排除故障使系统恢复正常运行。如果完成硬件更换，服务提供方负责取回更换下来的故障件。</w:t>
      </w:r>
    </w:p>
    <w:p w14:paraId="13BDC3F7">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现场服务响应时间表：</w:t>
      </w:r>
    </w:p>
    <w:tbl>
      <w:tblPr>
        <w:tblStyle w:val="10"/>
        <w:tblW w:w="5038" w:type="pct"/>
        <w:jc w:val="center"/>
        <w:tblLayout w:type="autofit"/>
        <w:tblCellMar>
          <w:top w:w="0" w:type="dxa"/>
          <w:left w:w="108" w:type="dxa"/>
          <w:bottom w:w="0" w:type="dxa"/>
          <w:right w:w="108" w:type="dxa"/>
        </w:tblCellMar>
      </w:tblPr>
      <w:tblGrid>
        <w:gridCol w:w="1214"/>
        <w:gridCol w:w="2567"/>
        <w:gridCol w:w="2476"/>
        <w:gridCol w:w="2330"/>
      </w:tblGrid>
      <w:tr w14:paraId="3ACA2862">
        <w:tblPrEx>
          <w:tblCellMar>
            <w:top w:w="0" w:type="dxa"/>
            <w:left w:w="108" w:type="dxa"/>
            <w:bottom w:w="0" w:type="dxa"/>
            <w:right w:w="108" w:type="dxa"/>
          </w:tblCellMar>
        </w:tblPrEx>
        <w:trPr>
          <w:trHeight w:val="288" w:hRule="atLeast"/>
          <w:jc w:val="center"/>
        </w:trPr>
        <w:tc>
          <w:tcPr>
            <w:tcW w:w="1182" w:type="dxa"/>
            <w:tcBorders>
              <w:top w:val="single" w:color="auto" w:sz="4" w:space="0"/>
              <w:left w:val="single" w:color="auto" w:sz="4" w:space="0"/>
              <w:bottom w:val="single" w:color="auto" w:sz="4" w:space="0"/>
              <w:right w:val="single" w:color="auto" w:sz="4" w:space="0"/>
            </w:tcBorders>
            <w:vAlign w:val="center"/>
          </w:tcPr>
          <w:p w14:paraId="061321C8">
            <w:pPr>
              <w:tabs>
                <w:tab w:val="left" w:pos="360"/>
                <w:tab w:val="left" w:pos="2040"/>
              </w:tabs>
              <w:spacing w:line="360" w:lineRule="auto"/>
              <w:rPr>
                <w:rFonts w:hint="eastAsia" w:ascii="仿宋" w:hAnsi="仿宋" w:eastAsia="仿宋" w:cs="宋体"/>
              </w:rPr>
            </w:pPr>
            <w:r>
              <w:rPr>
                <w:rFonts w:hint="eastAsia" w:ascii="仿宋" w:hAnsi="仿宋" w:eastAsia="仿宋" w:cs="宋体"/>
              </w:rPr>
              <w:t>适用城市</w:t>
            </w:r>
          </w:p>
        </w:tc>
        <w:tc>
          <w:tcPr>
            <w:tcW w:w="2499" w:type="dxa"/>
            <w:tcBorders>
              <w:top w:val="single" w:color="auto" w:sz="4" w:space="0"/>
              <w:left w:val="nil"/>
              <w:bottom w:val="single" w:color="auto" w:sz="4" w:space="0"/>
              <w:right w:val="single" w:color="auto" w:sz="4" w:space="0"/>
            </w:tcBorders>
            <w:vAlign w:val="center"/>
          </w:tcPr>
          <w:p w14:paraId="2878D5E9">
            <w:pPr>
              <w:tabs>
                <w:tab w:val="left" w:pos="360"/>
                <w:tab w:val="left" w:pos="2040"/>
              </w:tabs>
              <w:spacing w:line="360" w:lineRule="auto"/>
              <w:rPr>
                <w:rFonts w:hint="eastAsia" w:ascii="仿宋" w:hAnsi="仿宋" w:eastAsia="仿宋" w:cs="宋体"/>
              </w:rPr>
            </w:pPr>
            <w:r>
              <w:rPr>
                <w:rFonts w:hint="eastAsia" w:ascii="仿宋" w:hAnsi="仿宋" w:eastAsia="仿宋" w:cs="宋体"/>
              </w:rPr>
              <w:t xml:space="preserve">现场与服务中心距离 </w:t>
            </w:r>
          </w:p>
        </w:tc>
        <w:tc>
          <w:tcPr>
            <w:tcW w:w="2410" w:type="dxa"/>
            <w:tcBorders>
              <w:top w:val="single" w:color="auto" w:sz="4" w:space="0"/>
              <w:left w:val="nil"/>
              <w:bottom w:val="single" w:color="auto" w:sz="4" w:space="0"/>
              <w:right w:val="single" w:color="auto" w:sz="4" w:space="0"/>
            </w:tcBorders>
            <w:vAlign w:val="center"/>
          </w:tcPr>
          <w:p w14:paraId="5EA005F0">
            <w:pPr>
              <w:tabs>
                <w:tab w:val="left" w:pos="360"/>
                <w:tab w:val="left" w:pos="2040"/>
              </w:tabs>
              <w:spacing w:line="360" w:lineRule="auto"/>
              <w:rPr>
                <w:rFonts w:hint="eastAsia" w:ascii="仿宋" w:hAnsi="仿宋" w:eastAsia="仿宋" w:cs="宋体"/>
              </w:rPr>
            </w:pPr>
            <w:r>
              <w:rPr>
                <w:rFonts w:hint="eastAsia" w:ascii="仿宋" w:hAnsi="仿宋" w:eastAsia="仿宋" w:cs="宋体"/>
              </w:rPr>
              <w:t>P1/P2问题到达SLA</w:t>
            </w:r>
          </w:p>
        </w:tc>
        <w:tc>
          <w:tcPr>
            <w:tcW w:w="2268" w:type="dxa"/>
            <w:tcBorders>
              <w:top w:val="single" w:color="auto" w:sz="4" w:space="0"/>
              <w:left w:val="nil"/>
              <w:bottom w:val="single" w:color="auto" w:sz="4" w:space="0"/>
              <w:right w:val="single" w:color="auto" w:sz="4" w:space="0"/>
            </w:tcBorders>
            <w:vAlign w:val="center"/>
          </w:tcPr>
          <w:p w14:paraId="1BD4E98E">
            <w:pPr>
              <w:tabs>
                <w:tab w:val="left" w:pos="360"/>
                <w:tab w:val="left" w:pos="2040"/>
              </w:tabs>
              <w:spacing w:line="360" w:lineRule="auto"/>
              <w:rPr>
                <w:rFonts w:hint="eastAsia" w:ascii="仿宋" w:hAnsi="仿宋" w:eastAsia="仿宋" w:cs="宋体"/>
              </w:rPr>
            </w:pPr>
            <w:r>
              <w:rPr>
                <w:rFonts w:hint="eastAsia" w:ascii="仿宋" w:hAnsi="仿宋" w:eastAsia="仿宋" w:cs="宋体"/>
              </w:rPr>
              <w:t>P3问题到达SLA</w:t>
            </w:r>
          </w:p>
        </w:tc>
      </w:tr>
      <w:tr w14:paraId="682089E4">
        <w:tblPrEx>
          <w:tblCellMar>
            <w:top w:w="0" w:type="dxa"/>
            <w:left w:w="108" w:type="dxa"/>
            <w:bottom w:w="0" w:type="dxa"/>
            <w:right w:w="108" w:type="dxa"/>
          </w:tblCellMar>
        </w:tblPrEx>
        <w:trPr>
          <w:trHeight w:val="288" w:hRule="atLeast"/>
          <w:jc w:val="center"/>
        </w:trPr>
        <w:tc>
          <w:tcPr>
            <w:tcW w:w="1182" w:type="dxa"/>
            <w:vMerge w:val="restart"/>
            <w:tcBorders>
              <w:top w:val="nil"/>
              <w:left w:val="single" w:color="auto" w:sz="4" w:space="0"/>
              <w:bottom w:val="single" w:color="auto" w:sz="4" w:space="0"/>
              <w:right w:val="single" w:color="auto" w:sz="4" w:space="0"/>
            </w:tcBorders>
            <w:vAlign w:val="center"/>
          </w:tcPr>
          <w:p w14:paraId="1E00D713">
            <w:pPr>
              <w:tabs>
                <w:tab w:val="left" w:pos="360"/>
                <w:tab w:val="left" w:pos="2040"/>
              </w:tabs>
              <w:spacing w:line="360" w:lineRule="auto"/>
              <w:rPr>
                <w:rFonts w:hint="eastAsia" w:ascii="仿宋" w:hAnsi="仿宋" w:eastAsia="仿宋" w:cs="宋体"/>
              </w:rPr>
            </w:pPr>
            <w:r>
              <w:rPr>
                <w:rFonts w:hint="eastAsia" w:ascii="仿宋" w:hAnsi="仿宋" w:eastAsia="仿宋" w:cs="宋体"/>
              </w:rPr>
              <w:t>所有城市</w:t>
            </w:r>
          </w:p>
        </w:tc>
        <w:tc>
          <w:tcPr>
            <w:tcW w:w="2499" w:type="dxa"/>
            <w:tcBorders>
              <w:top w:val="nil"/>
              <w:left w:val="nil"/>
              <w:bottom w:val="single" w:color="auto" w:sz="4" w:space="0"/>
              <w:right w:val="single" w:color="auto" w:sz="4" w:space="0"/>
            </w:tcBorders>
            <w:vAlign w:val="center"/>
          </w:tcPr>
          <w:p w14:paraId="14594D70">
            <w:pPr>
              <w:tabs>
                <w:tab w:val="left" w:pos="360"/>
                <w:tab w:val="left" w:pos="2040"/>
              </w:tabs>
              <w:spacing w:line="360" w:lineRule="auto"/>
              <w:rPr>
                <w:rFonts w:hint="eastAsia" w:ascii="仿宋" w:hAnsi="仿宋" w:eastAsia="仿宋" w:cs="宋体"/>
              </w:rPr>
            </w:pPr>
            <w:r>
              <w:rPr>
                <w:rFonts w:hint="eastAsia" w:ascii="仿宋" w:hAnsi="仿宋" w:eastAsia="仿宋" w:cs="宋体"/>
              </w:rPr>
              <w:t>&lt;100公里</w:t>
            </w:r>
          </w:p>
        </w:tc>
        <w:tc>
          <w:tcPr>
            <w:tcW w:w="2410" w:type="dxa"/>
            <w:tcBorders>
              <w:top w:val="nil"/>
              <w:left w:val="nil"/>
              <w:bottom w:val="single" w:color="auto" w:sz="4" w:space="0"/>
              <w:right w:val="single" w:color="auto" w:sz="4" w:space="0"/>
            </w:tcBorders>
            <w:vAlign w:val="center"/>
          </w:tcPr>
          <w:p w14:paraId="1A2E448A">
            <w:pPr>
              <w:tabs>
                <w:tab w:val="left" w:pos="360"/>
                <w:tab w:val="left" w:pos="2040"/>
              </w:tabs>
              <w:spacing w:line="360" w:lineRule="auto"/>
              <w:rPr>
                <w:rFonts w:hint="eastAsia" w:ascii="仿宋" w:hAnsi="仿宋" w:eastAsia="仿宋" w:cs="宋体"/>
              </w:rPr>
            </w:pPr>
            <w:r>
              <w:rPr>
                <w:rFonts w:hint="eastAsia" w:ascii="仿宋" w:hAnsi="仿宋" w:eastAsia="仿宋" w:cs="宋体"/>
              </w:rPr>
              <w:t>6小时内</w:t>
            </w:r>
          </w:p>
        </w:tc>
        <w:tc>
          <w:tcPr>
            <w:tcW w:w="2268" w:type="dxa"/>
            <w:tcBorders>
              <w:top w:val="nil"/>
              <w:left w:val="nil"/>
              <w:bottom w:val="single" w:color="auto" w:sz="4" w:space="0"/>
              <w:right w:val="single" w:color="auto" w:sz="4" w:space="0"/>
            </w:tcBorders>
            <w:vAlign w:val="center"/>
          </w:tcPr>
          <w:p w14:paraId="56BEA12B">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5483A452">
        <w:tblPrEx>
          <w:tblCellMar>
            <w:top w:w="0" w:type="dxa"/>
            <w:left w:w="108" w:type="dxa"/>
            <w:bottom w:w="0" w:type="dxa"/>
            <w:right w:w="108" w:type="dxa"/>
          </w:tblCellMar>
        </w:tblPrEx>
        <w:trPr>
          <w:trHeight w:val="288" w:hRule="atLeast"/>
          <w:jc w:val="center"/>
        </w:trPr>
        <w:tc>
          <w:tcPr>
            <w:tcW w:w="1182" w:type="dxa"/>
            <w:vMerge w:val="continue"/>
            <w:tcBorders>
              <w:top w:val="nil"/>
              <w:left w:val="single" w:color="auto" w:sz="4" w:space="0"/>
              <w:bottom w:val="single" w:color="auto" w:sz="4" w:space="0"/>
              <w:right w:val="single" w:color="auto" w:sz="4" w:space="0"/>
            </w:tcBorders>
            <w:vAlign w:val="center"/>
          </w:tcPr>
          <w:p w14:paraId="57A2AABE">
            <w:pPr>
              <w:tabs>
                <w:tab w:val="left" w:pos="360"/>
                <w:tab w:val="left" w:pos="2040"/>
              </w:tabs>
              <w:spacing w:line="360" w:lineRule="auto"/>
              <w:rPr>
                <w:rFonts w:hint="eastAsia" w:ascii="仿宋" w:hAnsi="仿宋" w:eastAsia="仿宋" w:cs="宋体"/>
              </w:rPr>
            </w:pPr>
          </w:p>
        </w:tc>
        <w:tc>
          <w:tcPr>
            <w:tcW w:w="2499" w:type="dxa"/>
            <w:tcBorders>
              <w:top w:val="nil"/>
              <w:left w:val="nil"/>
              <w:bottom w:val="single" w:color="auto" w:sz="4" w:space="0"/>
              <w:right w:val="single" w:color="auto" w:sz="4" w:space="0"/>
            </w:tcBorders>
            <w:vAlign w:val="center"/>
          </w:tcPr>
          <w:p w14:paraId="6DB76D02">
            <w:pPr>
              <w:tabs>
                <w:tab w:val="left" w:pos="360"/>
                <w:tab w:val="left" w:pos="2040"/>
              </w:tabs>
              <w:spacing w:line="360" w:lineRule="auto"/>
              <w:rPr>
                <w:rFonts w:hint="eastAsia" w:ascii="仿宋" w:hAnsi="仿宋" w:eastAsia="仿宋" w:cs="宋体"/>
              </w:rPr>
            </w:pPr>
            <w:r>
              <w:rPr>
                <w:rFonts w:hint="eastAsia" w:ascii="仿宋" w:hAnsi="仿宋" w:eastAsia="仿宋" w:cs="宋体"/>
              </w:rPr>
              <w:t>100-200公里</w:t>
            </w:r>
          </w:p>
        </w:tc>
        <w:tc>
          <w:tcPr>
            <w:tcW w:w="2410" w:type="dxa"/>
            <w:tcBorders>
              <w:top w:val="nil"/>
              <w:left w:val="nil"/>
              <w:bottom w:val="single" w:color="auto" w:sz="4" w:space="0"/>
              <w:right w:val="single" w:color="auto" w:sz="4" w:space="0"/>
            </w:tcBorders>
            <w:vAlign w:val="center"/>
          </w:tcPr>
          <w:p w14:paraId="77B1328B">
            <w:pPr>
              <w:tabs>
                <w:tab w:val="left" w:pos="360"/>
                <w:tab w:val="left" w:pos="2040"/>
              </w:tabs>
              <w:spacing w:line="360" w:lineRule="auto"/>
              <w:rPr>
                <w:rFonts w:hint="eastAsia" w:ascii="仿宋" w:hAnsi="仿宋" w:eastAsia="仿宋" w:cs="宋体"/>
              </w:rPr>
            </w:pPr>
            <w:r>
              <w:rPr>
                <w:rFonts w:hint="eastAsia" w:ascii="仿宋" w:hAnsi="仿宋" w:eastAsia="仿宋" w:cs="宋体"/>
              </w:rPr>
              <w:t>8小时内</w:t>
            </w:r>
          </w:p>
        </w:tc>
        <w:tc>
          <w:tcPr>
            <w:tcW w:w="2268" w:type="dxa"/>
            <w:tcBorders>
              <w:top w:val="nil"/>
              <w:left w:val="nil"/>
              <w:bottom w:val="single" w:color="auto" w:sz="4" w:space="0"/>
              <w:right w:val="single" w:color="auto" w:sz="4" w:space="0"/>
            </w:tcBorders>
            <w:vAlign w:val="center"/>
          </w:tcPr>
          <w:p w14:paraId="769B5E55">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1BA9BFE2">
        <w:tblPrEx>
          <w:tblCellMar>
            <w:top w:w="0" w:type="dxa"/>
            <w:left w:w="108" w:type="dxa"/>
            <w:bottom w:w="0" w:type="dxa"/>
            <w:right w:w="108" w:type="dxa"/>
          </w:tblCellMar>
        </w:tblPrEx>
        <w:trPr>
          <w:trHeight w:val="288" w:hRule="atLeast"/>
          <w:jc w:val="center"/>
        </w:trPr>
        <w:tc>
          <w:tcPr>
            <w:tcW w:w="1182" w:type="dxa"/>
            <w:vMerge w:val="continue"/>
            <w:tcBorders>
              <w:top w:val="nil"/>
              <w:left w:val="single" w:color="auto" w:sz="4" w:space="0"/>
              <w:bottom w:val="single" w:color="auto" w:sz="4" w:space="0"/>
              <w:right w:val="single" w:color="auto" w:sz="4" w:space="0"/>
            </w:tcBorders>
            <w:vAlign w:val="center"/>
          </w:tcPr>
          <w:p w14:paraId="163B42BA">
            <w:pPr>
              <w:tabs>
                <w:tab w:val="left" w:pos="360"/>
                <w:tab w:val="left" w:pos="2040"/>
              </w:tabs>
              <w:spacing w:line="360" w:lineRule="auto"/>
              <w:rPr>
                <w:rFonts w:hint="eastAsia" w:ascii="仿宋" w:hAnsi="仿宋" w:eastAsia="仿宋" w:cs="宋体"/>
              </w:rPr>
            </w:pPr>
          </w:p>
        </w:tc>
        <w:tc>
          <w:tcPr>
            <w:tcW w:w="2499" w:type="dxa"/>
            <w:tcBorders>
              <w:top w:val="nil"/>
              <w:left w:val="nil"/>
              <w:bottom w:val="single" w:color="auto" w:sz="4" w:space="0"/>
              <w:right w:val="single" w:color="auto" w:sz="4" w:space="0"/>
            </w:tcBorders>
            <w:vAlign w:val="center"/>
          </w:tcPr>
          <w:p w14:paraId="136F680E">
            <w:pPr>
              <w:tabs>
                <w:tab w:val="left" w:pos="360"/>
                <w:tab w:val="left" w:pos="2040"/>
              </w:tabs>
              <w:spacing w:line="360" w:lineRule="auto"/>
              <w:rPr>
                <w:rFonts w:hint="eastAsia" w:ascii="仿宋" w:hAnsi="仿宋" w:eastAsia="仿宋" w:cs="宋体"/>
              </w:rPr>
            </w:pPr>
            <w:r>
              <w:rPr>
                <w:rFonts w:hint="eastAsia" w:ascii="仿宋" w:hAnsi="仿宋" w:eastAsia="仿宋" w:cs="宋体"/>
              </w:rPr>
              <w:t>200-300公里</w:t>
            </w:r>
          </w:p>
        </w:tc>
        <w:tc>
          <w:tcPr>
            <w:tcW w:w="2410" w:type="dxa"/>
            <w:tcBorders>
              <w:top w:val="nil"/>
              <w:left w:val="nil"/>
              <w:bottom w:val="single" w:color="auto" w:sz="4" w:space="0"/>
              <w:right w:val="single" w:color="auto" w:sz="4" w:space="0"/>
            </w:tcBorders>
            <w:vAlign w:val="center"/>
          </w:tcPr>
          <w:p w14:paraId="5A047E49">
            <w:pPr>
              <w:tabs>
                <w:tab w:val="left" w:pos="360"/>
                <w:tab w:val="left" w:pos="2040"/>
              </w:tabs>
              <w:spacing w:line="360" w:lineRule="auto"/>
              <w:rPr>
                <w:rFonts w:hint="eastAsia" w:ascii="仿宋" w:hAnsi="仿宋" w:eastAsia="仿宋" w:cs="宋体"/>
              </w:rPr>
            </w:pPr>
            <w:r>
              <w:rPr>
                <w:rFonts w:hint="eastAsia" w:ascii="仿宋" w:hAnsi="仿宋" w:eastAsia="仿宋" w:cs="宋体"/>
              </w:rPr>
              <w:t>10小时内</w:t>
            </w:r>
          </w:p>
        </w:tc>
        <w:tc>
          <w:tcPr>
            <w:tcW w:w="2268" w:type="dxa"/>
            <w:tcBorders>
              <w:top w:val="nil"/>
              <w:left w:val="nil"/>
              <w:bottom w:val="single" w:color="auto" w:sz="4" w:space="0"/>
              <w:right w:val="single" w:color="auto" w:sz="4" w:space="0"/>
            </w:tcBorders>
            <w:vAlign w:val="center"/>
          </w:tcPr>
          <w:p w14:paraId="3E1655AC">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5C7A010A">
        <w:tblPrEx>
          <w:tblCellMar>
            <w:top w:w="0" w:type="dxa"/>
            <w:left w:w="108" w:type="dxa"/>
            <w:bottom w:w="0" w:type="dxa"/>
            <w:right w:w="108" w:type="dxa"/>
          </w:tblCellMar>
        </w:tblPrEx>
        <w:trPr>
          <w:trHeight w:val="288" w:hRule="atLeast"/>
          <w:jc w:val="center"/>
        </w:trPr>
        <w:tc>
          <w:tcPr>
            <w:tcW w:w="1182" w:type="dxa"/>
            <w:vMerge w:val="continue"/>
            <w:tcBorders>
              <w:top w:val="nil"/>
              <w:left w:val="single" w:color="auto" w:sz="4" w:space="0"/>
              <w:bottom w:val="single" w:color="auto" w:sz="4" w:space="0"/>
              <w:right w:val="single" w:color="auto" w:sz="4" w:space="0"/>
            </w:tcBorders>
            <w:vAlign w:val="center"/>
          </w:tcPr>
          <w:p w14:paraId="30312393">
            <w:pPr>
              <w:tabs>
                <w:tab w:val="left" w:pos="360"/>
                <w:tab w:val="left" w:pos="2040"/>
              </w:tabs>
              <w:spacing w:line="360" w:lineRule="auto"/>
              <w:rPr>
                <w:rFonts w:hint="eastAsia" w:ascii="仿宋" w:hAnsi="仿宋" w:eastAsia="仿宋" w:cs="宋体"/>
              </w:rPr>
            </w:pPr>
          </w:p>
        </w:tc>
        <w:tc>
          <w:tcPr>
            <w:tcW w:w="2499" w:type="dxa"/>
            <w:tcBorders>
              <w:top w:val="nil"/>
              <w:left w:val="nil"/>
              <w:bottom w:val="single" w:color="auto" w:sz="4" w:space="0"/>
              <w:right w:val="single" w:color="auto" w:sz="4" w:space="0"/>
            </w:tcBorders>
            <w:vAlign w:val="center"/>
          </w:tcPr>
          <w:p w14:paraId="1EF7BA45">
            <w:pPr>
              <w:tabs>
                <w:tab w:val="left" w:pos="360"/>
                <w:tab w:val="left" w:pos="2040"/>
              </w:tabs>
              <w:spacing w:line="360" w:lineRule="auto"/>
              <w:rPr>
                <w:rFonts w:hint="eastAsia" w:ascii="仿宋" w:hAnsi="仿宋" w:eastAsia="仿宋" w:cs="宋体"/>
              </w:rPr>
            </w:pPr>
            <w:r>
              <w:rPr>
                <w:rFonts w:hint="eastAsia" w:ascii="仿宋" w:hAnsi="仿宋" w:eastAsia="仿宋" w:cs="宋体"/>
              </w:rPr>
              <w:t>300-400公里</w:t>
            </w:r>
          </w:p>
        </w:tc>
        <w:tc>
          <w:tcPr>
            <w:tcW w:w="2410" w:type="dxa"/>
            <w:tcBorders>
              <w:top w:val="nil"/>
              <w:left w:val="nil"/>
              <w:bottom w:val="single" w:color="auto" w:sz="4" w:space="0"/>
              <w:right w:val="single" w:color="auto" w:sz="4" w:space="0"/>
            </w:tcBorders>
            <w:vAlign w:val="center"/>
          </w:tcPr>
          <w:p w14:paraId="4C75EA6F">
            <w:pPr>
              <w:tabs>
                <w:tab w:val="left" w:pos="360"/>
                <w:tab w:val="left" w:pos="2040"/>
              </w:tabs>
              <w:spacing w:line="360" w:lineRule="auto"/>
              <w:rPr>
                <w:rFonts w:hint="eastAsia" w:ascii="仿宋" w:hAnsi="仿宋" w:eastAsia="仿宋" w:cs="宋体"/>
              </w:rPr>
            </w:pPr>
            <w:r>
              <w:rPr>
                <w:rFonts w:hint="eastAsia" w:ascii="仿宋" w:hAnsi="仿宋" w:eastAsia="仿宋" w:cs="宋体"/>
              </w:rPr>
              <w:t>12小时内</w:t>
            </w:r>
          </w:p>
        </w:tc>
        <w:tc>
          <w:tcPr>
            <w:tcW w:w="2268" w:type="dxa"/>
            <w:tcBorders>
              <w:top w:val="nil"/>
              <w:left w:val="nil"/>
              <w:bottom w:val="single" w:color="auto" w:sz="4" w:space="0"/>
              <w:right w:val="single" w:color="auto" w:sz="4" w:space="0"/>
            </w:tcBorders>
            <w:vAlign w:val="center"/>
          </w:tcPr>
          <w:p w14:paraId="0C77ECF8">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0226F417">
        <w:tblPrEx>
          <w:tblCellMar>
            <w:top w:w="0" w:type="dxa"/>
            <w:left w:w="108" w:type="dxa"/>
            <w:bottom w:w="0" w:type="dxa"/>
            <w:right w:w="108" w:type="dxa"/>
          </w:tblCellMar>
        </w:tblPrEx>
        <w:trPr>
          <w:trHeight w:val="528" w:hRule="atLeast"/>
          <w:jc w:val="center"/>
        </w:trPr>
        <w:tc>
          <w:tcPr>
            <w:tcW w:w="8359" w:type="dxa"/>
            <w:gridSpan w:val="4"/>
            <w:tcBorders>
              <w:top w:val="single" w:color="auto" w:sz="4" w:space="0"/>
              <w:left w:val="single" w:color="auto" w:sz="4" w:space="0"/>
              <w:bottom w:val="single" w:color="auto" w:sz="4" w:space="0"/>
              <w:right w:val="single" w:color="auto" w:sz="4" w:space="0"/>
            </w:tcBorders>
          </w:tcPr>
          <w:p w14:paraId="5EA38535">
            <w:pPr>
              <w:tabs>
                <w:tab w:val="left" w:pos="360"/>
                <w:tab w:val="left" w:pos="2040"/>
              </w:tabs>
              <w:spacing w:line="360" w:lineRule="auto"/>
              <w:rPr>
                <w:rFonts w:hint="eastAsia" w:ascii="仿宋" w:hAnsi="仿宋" w:eastAsia="仿宋" w:cs="宋体"/>
              </w:rPr>
            </w:pPr>
            <w:r>
              <w:rPr>
                <w:rFonts w:hint="eastAsia" w:ascii="仿宋" w:hAnsi="仿宋" w:eastAsia="仿宋" w:cs="宋体"/>
              </w:rPr>
              <w:t>备注：若用户所在城市距离服务中心路程400公里以上，将根据实际交通状况等具体条件与用户协商决定现场服务时间。</w:t>
            </w:r>
          </w:p>
        </w:tc>
      </w:tr>
    </w:tbl>
    <w:p w14:paraId="2ACA5E16">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其中广州按</w:t>
      </w:r>
      <w:r>
        <w:rPr>
          <w:rFonts w:hint="eastAsia" w:ascii="仿宋" w:hAnsi="仿宋" w:eastAsia="仿宋" w:cs="宋体"/>
          <w:kern w:val="0"/>
          <w:sz w:val="24"/>
        </w:rPr>
        <w:t>&lt;100公里标准提供服务。</w:t>
      </w:r>
    </w:p>
    <w:p w14:paraId="3CDB4172">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现场问题处理</w:t>
      </w:r>
    </w:p>
    <w:p w14:paraId="407A1E4E">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如果遇到通过远程技术支持不能有效解决的设备问题，服务提供方将安排经验丰富的技术支持工程师在服务协议规定时间内赴用户现场，协助用户进行现场故障诊断、制定故障恢复方案并现场排除故障。</w:t>
      </w:r>
    </w:p>
    <w:p w14:paraId="1B88F7B4">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现场服务响应时间表：</w:t>
      </w:r>
    </w:p>
    <w:tbl>
      <w:tblPr>
        <w:tblStyle w:val="10"/>
        <w:tblW w:w="4867" w:type="pct"/>
        <w:jc w:val="center"/>
        <w:tblLayout w:type="autofit"/>
        <w:tblCellMar>
          <w:top w:w="0" w:type="dxa"/>
          <w:left w:w="108" w:type="dxa"/>
          <w:bottom w:w="0" w:type="dxa"/>
          <w:right w:w="108" w:type="dxa"/>
        </w:tblCellMar>
      </w:tblPr>
      <w:tblGrid>
        <w:gridCol w:w="1212"/>
        <w:gridCol w:w="2568"/>
        <w:gridCol w:w="2330"/>
        <w:gridCol w:w="2185"/>
      </w:tblGrid>
      <w:tr w14:paraId="11894D84">
        <w:tblPrEx>
          <w:tblCellMar>
            <w:top w:w="0" w:type="dxa"/>
            <w:left w:w="108" w:type="dxa"/>
            <w:bottom w:w="0" w:type="dxa"/>
            <w:right w:w="108" w:type="dxa"/>
          </w:tblCellMar>
        </w:tblPrEx>
        <w:trPr>
          <w:trHeight w:val="288" w:hRule="atLeast"/>
          <w:jc w:val="center"/>
        </w:trPr>
        <w:tc>
          <w:tcPr>
            <w:tcW w:w="1180" w:type="dxa"/>
            <w:tcBorders>
              <w:top w:val="single" w:color="auto" w:sz="4" w:space="0"/>
              <w:left w:val="single" w:color="auto" w:sz="4" w:space="0"/>
              <w:bottom w:val="single" w:color="auto" w:sz="4" w:space="0"/>
              <w:right w:val="single" w:color="auto" w:sz="4" w:space="0"/>
            </w:tcBorders>
            <w:vAlign w:val="center"/>
          </w:tcPr>
          <w:p w14:paraId="10808EAF">
            <w:pPr>
              <w:tabs>
                <w:tab w:val="left" w:pos="360"/>
                <w:tab w:val="left" w:pos="2040"/>
              </w:tabs>
              <w:spacing w:line="360" w:lineRule="auto"/>
              <w:rPr>
                <w:rFonts w:hint="eastAsia" w:ascii="仿宋" w:hAnsi="仿宋" w:eastAsia="仿宋" w:cs="宋体"/>
              </w:rPr>
            </w:pPr>
            <w:r>
              <w:rPr>
                <w:rFonts w:hint="eastAsia" w:ascii="仿宋" w:hAnsi="仿宋" w:eastAsia="仿宋" w:cs="宋体"/>
              </w:rPr>
              <w:t>适用城市</w:t>
            </w:r>
          </w:p>
        </w:tc>
        <w:tc>
          <w:tcPr>
            <w:tcW w:w="2500" w:type="dxa"/>
            <w:tcBorders>
              <w:top w:val="single" w:color="auto" w:sz="4" w:space="0"/>
              <w:left w:val="nil"/>
              <w:bottom w:val="single" w:color="auto" w:sz="4" w:space="0"/>
              <w:right w:val="single" w:color="auto" w:sz="4" w:space="0"/>
            </w:tcBorders>
            <w:vAlign w:val="center"/>
          </w:tcPr>
          <w:p w14:paraId="1C6162AE">
            <w:pPr>
              <w:tabs>
                <w:tab w:val="left" w:pos="360"/>
                <w:tab w:val="left" w:pos="2040"/>
              </w:tabs>
              <w:spacing w:line="360" w:lineRule="auto"/>
              <w:rPr>
                <w:rFonts w:hint="eastAsia" w:ascii="仿宋" w:hAnsi="仿宋" w:eastAsia="仿宋" w:cs="宋体"/>
              </w:rPr>
            </w:pPr>
            <w:r>
              <w:rPr>
                <w:rFonts w:hint="eastAsia" w:ascii="仿宋" w:hAnsi="仿宋" w:eastAsia="仿宋" w:cs="宋体"/>
              </w:rPr>
              <w:t xml:space="preserve">现场与服务中心距离 </w:t>
            </w:r>
          </w:p>
        </w:tc>
        <w:tc>
          <w:tcPr>
            <w:tcW w:w="2268" w:type="dxa"/>
            <w:tcBorders>
              <w:top w:val="single" w:color="auto" w:sz="4" w:space="0"/>
              <w:left w:val="nil"/>
              <w:bottom w:val="single" w:color="auto" w:sz="4" w:space="0"/>
              <w:right w:val="single" w:color="auto" w:sz="4" w:space="0"/>
            </w:tcBorders>
            <w:vAlign w:val="center"/>
          </w:tcPr>
          <w:p w14:paraId="4059D722">
            <w:pPr>
              <w:tabs>
                <w:tab w:val="left" w:pos="360"/>
                <w:tab w:val="left" w:pos="2040"/>
              </w:tabs>
              <w:spacing w:line="360" w:lineRule="auto"/>
              <w:rPr>
                <w:rFonts w:hint="eastAsia" w:ascii="仿宋" w:hAnsi="仿宋" w:eastAsia="仿宋" w:cs="宋体"/>
              </w:rPr>
            </w:pPr>
            <w:r>
              <w:rPr>
                <w:rFonts w:hint="eastAsia" w:ascii="仿宋" w:hAnsi="仿宋" w:eastAsia="仿宋" w:cs="宋体"/>
              </w:rPr>
              <w:t>P1/P2问题到达SLA</w:t>
            </w:r>
          </w:p>
        </w:tc>
        <w:tc>
          <w:tcPr>
            <w:tcW w:w="2127" w:type="dxa"/>
            <w:tcBorders>
              <w:top w:val="single" w:color="auto" w:sz="4" w:space="0"/>
              <w:left w:val="nil"/>
              <w:bottom w:val="single" w:color="auto" w:sz="4" w:space="0"/>
              <w:right w:val="single" w:color="auto" w:sz="4" w:space="0"/>
            </w:tcBorders>
            <w:vAlign w:val="center"/>
          </w:tcPr>
          <w:p w14:paraId="24BD6D27">
            <w:pPr>
              <w:tabs>
                <w:tab w:val="left" w:pos="360"/>
                <w:tab w:val="left" w:pos="2040"/>
              </w:tabs>
              <w:spacing w:line="360" w:lineRule="auto"/>
              <w:rPr>
                <w:rFonts w:hint="eastAsia" w:ascii="仿宋" w:hAnsi="仿宋" w:eastAsia="仿宋" w:cs="宋体"/>
              </w:rPr>
            </w:pPr>
            <w:r>
              <w:rPr>
                <w:rFonts w:hint="eastAsia" w:ascii="仿宋" w:hAnsi="仿宋" w:eastAsia="仿宋" w:cs="宋体"/>
              </w:rPr>
              <w:t>P3问题到达SLA</w:t>
            </w:r>
          </w:p>
        </w:tc>
      </w:tr>
      <w:tr w14:paraId="1785FBDC">
        <w:tblPrEx>
          <w:tblCellMar>
            <w:top w:w="0" w:type="dxa"/>
            <w:left w:w="108" w:type="dxa"/>
            <w:bottom w:w="0" w:type="dxa"/>
            <w:right w:w="108" w:type="dxa"/>
          </w:tblCellMar>
        </w:tblPrEx>
        <w:trPr>
          <w:trHeight w:val="288" w:hRule="atLeast"/>
          <w:jc w:val="center"/>
        </w:trPr>
        <w:tc>
          <w:tcPr>
            <w:tcW w:w="1180" w:type="dxa"/>
            <w:vMerge w:val="restart"/>
            <w:tcBorders>
              <w:top w:val="nil"/>
              <w:left w:val="single" w:color="auto" w:sz="4" w:space="0"/>
              <w:bottom w:val="single" w:color="auto" w:sz="4" w:space="0"/>
              <w:right w:val="single" w:color="auto" w:sz="4" w:space="0"/>
            </w:tcBorders>
            <w:vAlign w:val="center"/>
          </w:tcPr>
          <w:p w14:paraId="1794027D">
            <w:pPr>
              <w:tabs>
                <w:tab w:val="left" w:pos="360"/>
                <w:tab w:val="left" w:pos="2040"/>
              </w:tabs>
              <w:spacing w:line="360" w:lineRule="auto"/>
              <w:rPr>
                <w:rFonts w:hint="eastAsia" w:ascii="仿宋" w:hAnsi="仿宋" w:eastAsia="仿宋" w:cs="宋体"/>
              </w:rPr>
            </w:pPr>
            <w:r>
              <w:rPr>
                <w:rFonts w:hint="eastAsia" w:ascii="仿宋" w:hAnsi="仿宋" w:eastAsia="仿宋" w:cs="宋体"/>
              </w:rPr>
              <w:t>所有城市</w:t>
            </w:r>
          </w:p>
        </w:tc>
        <w:tc>
          <w:tcPr>
            <w:tcW w:w="2500" w:type="dxa"/>
            <w:tcBorders>
              <w:top w:val="nil"/>
              <w:left w:val="nil"/>
              <w:bottom w:val="single" w:color="auto" w:sz="4" w:space="0"/>
              <w:right w:val="single" w:color="auto" w:sz="4" w:space="0"/>
            </w:tcBorders>
            <w:vAlign w:val="center"/>
          </w:tcPr>
          <w:p w14:paraId="3FD96F61">
            <w:pPr>
              <w:tabs>
                <w:tab w:val="left" w:pos="360"/>
                <w:tab w:val="left" w:pos="2040"/>
              </w:tabs>
              <w:spacing w:line="360" w:lineRule="auto"/>
              <w:rPr>
                <w:rFonts w:hint="eastAsia" w:ascii="仿宋" w:hAnsi="仿宋" w:eastAsia="仿宋" w:cs="宋体"/>
              </w:rPr>
            </w:pPr>
            <w:r>
              <w:rPr>
                <w:rFonts w:hint="eastAsia" w:ascii="仿宋" w:hAnsi="仿宋" w:eastAsia="仿宋" w:cs="宋体"/>
              </w:rPr>
              <w:t>&lt;100公里</w:t>
            </w:r>
          </w:p>
        </w:tc>
        <w:tc>
          <w:tcPr>
            <w:tcW w:w="2268" w:type="dxa"/>
            <w:tcBorders>
              <w:top w:val="nil"/>
              <w:left w:val="nil"/>
              <w:bottom w:val="single" w:color="auto" w:sz="4" w:space="0"/>
              <w:right w:val="single" w:color="auto" w:sz="4" w:space="0"/>
            </w:tcBorders>
            <w:vAlign w:val="center"/>
          </w:tcPr>
          <w:p w14:paraId="39950974">
            <w:pPr>
              <w:tabs>
                <w:tab w:val="left" w:pos="360"/>
                <w:tab w:val="left" w:pos="2040"/>
              </w:tabs>
              <w:spacing w:line="360" w:lineRule="auto"/>
              <w:rPr>
                <w:rFonts w:hint="eastAsia" w:ascii="仿宋" w:hAnsi="仿宋" w:eastAsia="仿宋" w:cs="宋体"/>
              </w:rPr>
            </w:pPr>
            <w:r>
              <w:rPr>
                <w:rFonts w:hint="eastAsia" w:ascii="仿宋" w:hAnsi="仿宋" w:eastAsia="仿宋" w:cs="宋体"/>
              </w:rPr>
              <w:t>6小时内</w:t>
            </w:r>
          </w:p>
        </w:tc>
        <w:tc>
          <w:tcPr>
            <w:tcW w:w="2127" w:type="dxa"/>
            <w:tcBorders>
              <w:top w:val="nil"/>
              <w:left w:val="nil"/>
              <w:bottom w:val="single" w:color="auto" w:sz="4" w:space="0"/>
              <w:right w:val="single" w:color="auto" w:sz="4" w:space="0"/>
            </w:tcBorders>
            <w:vAlign w:val="center"/>
          </w:tcPr>
          <w:p w14:paraId="1172D5CB">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735A4F70">
        <w:tblPrEx>
          <w:tblCellMar>
            <w:top w:w="0" w:type="dxa"/>
            <w:left w:w="108" w:type="dxa"/>
            <w:bottom w:w="0" w:type="dxa"/>
            <w:right w:w="108" w:type="dxa"/>
          </w:tblCellMar>
        </w:tblPrEx>
        <w:trPr>
          <w:trHeight w:val="288" w:hRule="atLeast"/>
          <w:jc w:val="center"/>
        </w:trPr>
        <w:tc>
          <w:tcPr>
            <w:tcW w:w="1180" w:type="dxa"/>
            <w:vMerge w:val="continue"/>
            <w:tcBorders>
              <w:top w:val="nil"/>
              <w:left w:val="single" w:color="auto" w:sz="4" w:space="0"/>
              <w:bottom w:val="single" w:color="auto" w:sz="4" w:space="0"/>
              <w:right w:val="single" w:color="auto" w:sz="4" w:space="0"/>
            </w:tcBorders>
            <w:vAlign w:val="center"/>
          </w:tcPr>
          <w:p w14:paraId="0BCA44A5">
            <w:pPr>
              <w:tabs>
                <w:tab w:val="left" w:pos="360"/>
                <w:tab w:val="left" w:pos="2040"/>
              </w:tabs>
              <w:spacing w:line="360" w:lineRule="auto"/>
              <w:rPr>
                <w:rFonts w:hint="eastAsia" w:ascii="仿宋" w:hAnsi="仿宋" w:eastAsia="仿宋" w:cs="宋体"/>
              </w:rPr>
            </w:pPr>
          </w:p>
        </w:tc>
        <w:tc>
          <w:tcPr>
            <w:tcW w:w="2500" w:type="dxa"/>
            <w:tcBorders>
              <w:top w:val="nil"/>
              <w:left w:val="nil"/>
              <w:bottom w:val="single" w:color="auto" w:sz="4" w:space="0"/>
              <w:right w:val="single" w:color="auto" w:sz="4" w:space="0"/>
            </w:tcBorders>
            <w:vAlign w:val="center"/>
          </w:tcPr>
          <w:p w14:paraId="461F8F48">
            <w:pPr>
              <w:tabs>
                <w:tab w:val="left" w:pos="360"/>
                <w:tab w:val="left" w:pos="2040"/>
              </w:tabs>
              <w:spacing w:line="360" w:lineRule="auto"/>
              <w:rPr>
                <w:rFonts w:hint="eastAsia" w:ascii="仿宋" w:hAnsi="仿宋" w:eastAsia="仿宋" w:cs="宋体"/>
              </w:rPr>
            </w:pPr>
            <w:r>
              <w:rPr>
                <w:rFonts w:hint="eastAsia" w:ascii="仿宋" w:hAnsi="仿宋" w:eastAsia="仿宋" w:cs="宋体"/>
              </w:rPr>
              <w:t>100-200公里</w:t>
            </w:r>
          </w:p>
        </w:tc>
        <w:tc>
          <w:tcPr>
            <w:tcW w:w="2268" w:type="dxa"/>
            <w:tcBorders>
              <w:top w:val="nil"/>
              <w:left w:val="nil"/>
              <w:bottom w:val="single" w:color="auto" w:sz="4" w:space="0"/>
              <w:right w:val="single" w:color="auto" w:sz="4" w:space="0"/>
            </w:tcBorders>
            <w:vAlign w:val="center"/>
          </w:tcPr>
          <w:p w14:paraId="472F7752">
            <w:pPr>
              <w:tabs>
                <w:tab w:val="left" w:pos="360"/>
                <w:tab w:val="left" w:pos="2040"/>
              </w:tabs>
              <w:spacing w:line="360" w:lineRule="auto"/>
              <w:rPr>
                <w:rFonts w:hint="eastAsia" w:ascii="仿宋" w:hAnsi="仿宋" w:eastAsia="仿宋" w:cs="宋体"/>
              </w:rPr>
            </w:pPr>
            <w:r>
              <w:rPr>
                <w:rFonts w:hint="eastAsia" w:ascii="仿宋" w:hAnsi="仿宋" w:eastAsia="仿宋" w:cs="宋体"/>
              </w:rPr>
              <w:t>8小时内</w:t>
            </w:r>
          </w:p>
        </w:tc>
        <w:tc>
          <w:tcPr>
            <w:tcW w:w="2127" w:type="dxa"/>
            <w:tcBorders>
              <w:top w:val="nil"/>
              <w:left w:val="nil"/>
              <w:bottom w:val="single" w:color="auto" w:sz="4" w:space="0"/>
              <w:right w:val="single" w:color="auto" w:sz="4" w:space="0"/>
            </w:tcBorders>
            <w:vAlign w:val="center"/>
          </w:tcPr>
          <w:p w14:paraId="59453FFC">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496214F8">
        <w:tblPrEx>
          <w:tblCellMar>
            <w:top w:w="0" w:type="dxa"/>
            <w:left w:w="108" w:type="dxa"/>
            <w:bottom w:w="0" w:type="dxa"/>
            <w:right w:w="108" w:type="dxa"/>
          </w:tblCellMar>
        </w:tblPrEx>
        <w:trPr>
          <w:trHeight w:val="288" w:hRule="atLeast"/>
          <w:jc w:val="center"/>
        </w:trPr>
        <w:tc>
          <w:tcPr>
            <w:tcW w:w="1180" w:type="dxa"/>
            <w:vMerge w:val="continue"/>
            <w:tcBorders>
              <w:top w:val="nil"/>
              <w:left w:val="single" w:color="auto" w:sz="4" w:space="0"/>
              <w:bottom w:val="single" w:color="auto" w:sz="4" w:space="0"/>
              <w:right w:val="single" w:color="auto" w:sz="4" w:space="0"/>
            </w:tcBorders>
            <w:vAlign w:val="center"/>
          </w:tcPr>
          <w:p w14:paraId="22049FB5">
            <w:pPr>
              <w:tabs>
                <w:tab w:val="left" w:pos="360"/>
                <w:tab w:val="left" w:pos="2040"/>
              </w:tabs>
              <w:spacing w:line="360" w:lineRule="auto"/>
              <w:rPr>
                <w:rFonts w:hint="eastAsia" w:ascii="仿宋" w:hAnsi="仿宋" w:eastAsia="仿宋" w:cs="宋体"/>
              </w:rPr>
            </w:pPr>
          </w:p>
        </w:tc>
        <w:tc>
          <w:tcPr>
            <w:tcW w:w="2500" w:type="dxa"/>
            <w:tcBorders>
              <w:top w:val="nil"/>
              <w:left w:val="nil"/>
              <w:bottom w:val="single" w:color="auto" w:sz="4" w:space="0"/>
              <w:right w:val="single" w:color="auto" w:sz="4" w:space="0"/>
            </w:tcBorders>
            <w:vAlign w:val="center"/>
          </w:tcPr>
          <w:p w14:paraId="07913BE8">
            <w:pPr>
              <w:tabs>
                <w:tab w:val="left" w:pos="360"/>
                <w:tab w:val="left" w:pos="2040"/>
              </w:tabs>
              <w:spacing w:line="360" w:lineRule="auto"/>
              <w:rPr>
                <w:rFonts w:hint="eastAsia" w:ascii="仿宋" w:hAnsi="仿宋" w:eastAsia="仿宋" w:cs="宋体"/>
              </w:rPr>
            </w:pPr>
            <w:r>
              <w:rPr>
                <w:rFonts w:hint="eastAsia" w:ascii="仿宋" w:hAnsi="仿宋" w:eastAsia="仿宋" w:cs="宋体"/>
              </w:rPr>
              <w:t>200-300公里</w:t>
            </w:r>
          </w:p>
        </w:tc>
        <w:tc>
          <w:tcPr>
            <w:tcW w:w="2268" w:type="dxa"/>
            <w:tcBorders>
              <w:top w:val="nil"/>
              <w:left w:val="nil"/>
              <w:bottom w:val="single" w:color="auto" w:sz="4" w:space="0"/>
              <w:right w:val="single" w:color="auto" w:sz="4" w:space="0"/>
            </w:tcBorders>
            <w:vAlign w:val="center"/>
          </w:tcPr>
          <w:p w14:paraId="3247B925">
            <w:pPr>
              <w:tabs>
                <w:tab w:val="left" w:pos="360"/>
                <w:tab w:val="left" w:pos="2040"/>
              </w:tabs>
              <w:spacing w:line="360" w:lineRule="auto"/>
              <w:rPr>
                <w:rFonts w:hint="eastAsia" w:ascii="仿宋" w:hAnsi="仿宋" w:eastAsia="仿宋" w:cs="宋体"/>
              </w:rPr>
            </w:pPr>
            <w:r>
              <w:rPr>
                <w:rFonts w:hint="eastAsia" w:ascii="仿宋" w:hAnsi="仿宋" w:eastAsia="仿宋" w:cs="宋体"/>
              </w:rPr>
              <w:t>10小时内</w:t>
            </w:r>
          </w:p>
        </w:tc>
        <w:tc>
          <w:tcPr>
            <w:tcW w:w="2127" w:type="dxa"/>
            <w:tcBorders>
              <w:top w:val="nil"/>
              <w:left w:val="nil"/>
              <w:bottom w:val="single" w:color="auto" w:sz="4" w:space="0"/>
              <w:right w:val="single" w:color="auto" w:sz="4" w:space="0"/>
            </w:tcBorders>
            <w:vAlign w:val="center"/>
          </w:tcPr>
          <w:p w14:paraId="1F682B4A">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74555E2B">
        <w:tblPrEx>
          <w:tblCellMar>
            <w:top w:w="0" w:type="dxa"/>
            <w:left w:w="108" w:type="dxa"/>
            <w:bottom w:w="0" w:type="dxa"/>
            <w:right w:w="108" w:type="dxa"/>
          </w:tblCellMar>
        </w:tblPrEx>
        <w:trPr>
          <w:trHeight w:val="288" w:hRule="atLeast"/>
          <w:jc w:val="center"/>
        </w:trPr>
        <w:tc>
          <w:tcPr>
            <w:tcW w:w="1180" w:type="dxa"/>
            <w:vMerge w:val="continue"/>
            <w:tcBorders>
              <w:top w:val="nil"/>
              <w:left w:val="single" w:color="auto" w:sz="4" w:space="0"/>
              <w:bottom w:val="single" w:color="auto" w:sz="4" w:space="0"/>
              <w:right w:val="single" w:color="auto" w:sz="4" w:space="0"/>
            </w:tcBorders>
            <w:vAlign w:val="center"/>
          </w:tcPr>
          <w:p w14:paraId="3503E65A">
            <w:pPr>
              <w:tabs>
                <w:tab w:val="left" w:pos="360"/>
                <w:tab w:val="left" w:pos="2040"/>
              </w:tabs>
              <w:spacing w:line="360" w:lineRule="auto"/>
              <w:rPr>
                <w:rFonts w:hint="eastAsia" w:ascii="仿宋" w:hAnsi="仿宋" w:eastAsia="仿宋" w:cs="宋体"/>
              </w:rPr>
            </w:pPr>
          </w:p>
        </w:tc>
        <w:tc>
          <w:tcPr>
            <w:tcW w:w="2500" w:type="dxa"/>
            <w:tcBorders>
              <w:top w:val="nil"/>
              <w:left w:val="nil"/>
              <w:bottom w:val="single" w:color="auto" w:sz="4" w:space="0"/>
              <w:right w:val="single" w:color="auto" w:sz="4" w:space="0"/>
            </w:tcBorders>
            <w:vAlign w:val="center"/>
          </w:tcPr>
          <w:p w14:paraId="464BD525">
            <w:pPr>
              <w:tabs>
                <w:tab w:val="left" w:pos="360"/>
                <w:tab w:val="left" w:pos="2040"/>
              </w:tabs>
              <w:spacing w:line="360" w:lineRule="auto"/>
              <w:rPr>
                <w:rFonts w:hint="eastAsia" w:ascii="仿宋" w:hAnsi="仿宋" w:eastAsia="仿宋" w:cs="宋体"/>
              </w:rPr>
            </w:pPr>
            <w:r>
              <w:rPr>
                <w:rFonts w:hint="eastAsia" w:ascii="仿宋" w:hAnsi="仿宋" w:eastAsia="仿宋" w:cs="宋体"/>
              </w:rPr>
              <w:t>300-400公里</w:t>
            </w:r>
          </w:p>
        </w:tc>
        <w:tc>
          <w:tcPr>
            <w:tcW w:w="2268" w:type="dxa"/>
            <w:tcBorders>
              <w:top w:val="nil"/>
              <w:left w:val="nil"/>
              <w:bottom w:val="single" w:color="auto" w:sz="4" w:space="0"/>
              <w:right w:val="single" w:color="auto" w:sz="4" w:space="0"/>
            </w:tcBorders>
            <w:vAlign w:val="center"/>
          </w:tcPr>
          <w:p w14:paraId="739A0FC4">
            <w:pPr>
              <w:tabs>
                <w:tab w:val="left" w:pos="360"/>
                <w:tab w:val="left" w:pos="2040"/>
              </w:tabs>
              <w:spacing w:line="360" w:lineRule="auto"/>
              <w:rPr>
                <w:rFonts w:hint="eastAsia" w:ascii="仿宋" w:hAnsi="仿宋" w:eastAsia="仿宋" w:cs="宋体"/>
              </w:rPr>
            </w:pPr>
            <w:r>
              <w:rPr>
                <w:rFonts w:hint="eastAsia" w:ascii="仿宋" w:hAnsi="仿宋" w:eastAsia="仿宋" w:cs="宋体"/>
              </w:rPr>
              <w:t>12小时内</w:t>
            </w:r>
          </w:p>
        </w:tc>
        <w:tc>
          <w:tcPr>
            <w:tcW w:w="2127" w:type="dxa"/>
            <w:tcBorders>
              <w:top w:val="nil"/>
              <w:left w:val="nil"/>
              <w:bottom w:val="single" w:color="auto" w:sz="4" w:space="0"/>
              <w:right w:val="single" w:color="auto" w:sz="4" w:space="0"/>
            </w:tcBorders>
            <w:vAlign w:val="center"/>
          </w:tcPr>
          <w:p w14:paraId="3BE75186">
            <w:pPr>
              <w:tabs>
                <w:tab w:val="left" w:pos="360"/>
                <w:tab w:val="left" w:pos="2040"/>
              </w:tabs>
              <w:spacing w:line="360" w:lineRule="auto"/>
              <w:rPr>
                <w:rFonts w:hint="eastAsia" w:ascii="仿宋" w:hAnsi="仿宋" w:eastAsia="仿宋" w:cs="宋体"/>
              </w:rPr>
            </w:pPr>
            <w:r>
              <w:rPr>
                <w:rFonts w:hint="eastAsia" w:ascii="仿宋" w:hAnsi="仿宋" w:eastAsia="仿宋" w:cs="宋体"/>
              </w:rPr>
              <w:t>ND内</w:t>
            </w:r>
          </w:p>
        </w:tc>
      </w:tr>
      <w:tr w14:paraId="73B6F3B7">
        <w:tblPrEx>
          <w:tblCellMar>
            <w:top w:w="0" w:type="dxa"/>
            <w:left w:w="108" w:type="dxa"/>
            <w:bottom w:w="0" w:type="dxa"/>
            <w:right w:w="108" w:type="dxa"/>
          </w:tblCellMar>
        </w:tblPrEx>
        <w:trPr>
          <w:trHeight w:val="528" w:hRule="atLeast"/>
          <w:jc w:val="center"/>
        </w:trPr>
        <w:tc>
          <w:tcPr>
            <w:tcW w:w="8075" w:type="dxa"/>
            <w:gridSpan w:val="4"/>
            <w:tcBorders>
              <w:top w:val="single" w:color="auto" w:sz="4" w:space="0"/>
              <w:left w:val="single" w:color="auto" w:sz="4" w:space="0"/>
              <w:bottom w:val="single" w:color="auto" w:sz="4" w:space="0"/>
              <w:right w:val="single" w:color="auto" w:sz="4" w:space="0"/>
            </w:tcBorders>
          </w:tcPr>
          <w:p w14:paraId="28536063">
            <w:pPr>
              <w:tabs>
                <w:tab w:val="left" w:pos="360"/>
                <w:tab w:val="left" w:pos="2040"/>
              </w:tabs>
              <w:spacing w:line="360" w:lineRule="auto"/>
              <w:rPr>
                <w:rFonts w:hint="eastAsia" w:ascii="仿宋" w:hAnsi="仿宋" w:eastAsia="仿宋" w:cs="宋体"/>
              </w:rPr>
            </w:pPr>
            <w:r>
              <w:rPr>
                <w:rFonts w:hint="eastAsia" w:ascii="仿宋" w:hAnsi="仿宋" w:eastAsia="仿宋" w:cs="宋体"/>
              </w:rPr>
              <w:t>备注：若用户所在城市距离服务中心路程400公里以上，将根据实际交通状况等具体条件与用户协商决定现场服务时间。</w:t>
            </w:r>
          </w:p>
        </w:tc>
      </w:tr>
    </w:tbl>
    <w:p w14:paraId="3108D318">
      <w:pPr>
        <w:snapToGrid w:val="0"/>
        <w:spacing w:line="360" w:lineRule="auto"/>
        <w:ind w:firstLine="480"/>
        <w:rPr>
          <w:rFonts w:hint="eastAsia" w:ascii="仿宋" w:hAnsi="仿宋" w:eastAsia="仿宋" w:cs="宋体"/>
          <w:kern w:val="0"/>
          <w:sz w:val="24"/>
        </w:rPr>
      </w:pPr>
      <w:r>
        <w:rPr>
          <w:rFonts w:ascii="仿宋" w:hAnsi="仿宋" w:eastAsia="仿宋" w:cs="宋体"/>
          <w:kern w:val="0"/>
          <w:sz w:val="24"/>
        </w:rPr>
        <w:t>其中广州按</w:t>
      </w:r>
      <w:r>
        <w:rPr>
          <w:rFonts w:hint="eastAsia" w:ascii="仿宋" w:hAnsi="仿宋" w:eastAsia="仿宋" w:cs="宋体"/>
          <w:kern w:val="0"/>
          <w:sz w:val="24"/>
        </w:rPr>
        <w:t>&lt;100公里标准提供服务。</w:t>
      </w:r>
    </w:p>
    <w:p w14:paraId="5807579C">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设备健康检查</w:t>
      </w:r>
    </w:p>
    <w:p w14:paraId="29B0DAF9">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服务提供方根据计划对双方约定的客户网络中的设备的数据配置、运行状态等各项内容检查和分析，发现设备运行中存在的问题和潜在风险，并对检查结果进行总结报告和提出相应的措施建议，保障您的网络安全、高效运行。</w:t>
      </w:r>
    </w:p>
    <w:p w14:paraId="47ED8089">
      <w:pPr>
        <w:pStyle w:val="19"/>
        <w:numPr>
          <w:ilvl w:val="0"/>
          <w:numId w:val="2"/>
        </w:numPr>
        <w:snapToGrid w:val="0"/>
        <w:spacing w:line="360" w:lineRule="auto"/>
        <w:rPr>
          <w:rFonts w:hint="eastAsia" w:ascii="仿宋" w:hAnsi="仿宋" w:eastAsia="仿宋" w:cs="宋体"/>
          <w:kern w:val="0"/>
          <w:sz w:val="24"/>
        </w:rPr>
      </w:pPr>
      <w:r>
        <w:rPr>
          <w:rFonts w:hint="eastAsia" w:ascii="仿宋" w:hAnsi="仿宋" w:eastAsia="仿宋" w:cs="宋体"/>
          <w:kern w:val="0"/>
          <w:sz w:val="24"/>
        </w:rPr>
        <w:t>服务支持计划与报告</w:t>
      </w:r>
    </w:p>
    <w:p w14:paraId="68A9B928">
      <w:pPr>
        <w:snapToGrid w:val="0"/>
        <w:spacing w:line="360" w:lineRule="auto"/>
        <w:ind w:firstLine="480"/>
        <w:rPr>
          <w:rFonts w:hint="eastAsia" w:ascii="仿宋" w:hAnsi="仿宋" w:eastAsia="仿宋" w:cs="宋体"/>
          <w:kern w:val="0"/>
          <w:sz w:val="24"/>
        </w:rPr>
      </w:pPr>
      <w:r>
        <w:rPr>
          <w:rFonts w:hint="eastAsia" w:ascii="仿宋" w:hAnsi="仿宋" w:eastAsia="仿宋" w:cs="宋体"/>
          <w:kern w:val="0"/>
          <w:sz w:val="24"/>
        </w:rPr>
        <w:t>服务提供方需对一段时间内的故障问题汇总、备件更换情况及其它服务活动的进展情况进行总结并定期输出服务报告。</w:t>
      </w:r>
    </w:p>
    <w:p w14:paraId="334A354F">
      <w:pPr>
        <w:pStyle w:val="5"/>
        <w:rPr>
          <w:rFonts w:hint="eastAsia" w:ascii="仿宋" w:hAnsi="仿宋" w:eastAsia="仿宋" w:cs="宋体"/>
          <w:sz w:val="24"/>
        </w:rPr>
      </w:pPr>
      <w:r>
        <w:rPr>
          <w:rFonts w:hint="eastAsia" w:ascii="仿宋" w:hAnsi="仿宋" w:eastAsia="仿宋" w:cs="宋体"/>
          <w:sz w:val="24"/>
        </w:rPr>
        <w:t>L</w:t>
      </w:r>
      <w:r>
        <w:rPr>
          <w:rFonts w:ascii="仿宋" w:hAnsi="仿宋" w:eastAsia="仿宋" w:cs="宋体"/>
          <w:sz w:val="24"/>
        </w:rPr>
        <w:t>ED屏维保服务</w:t>
      </w:r>
    </w:p>
    <w:p w14:paraId="42D12D1D">
      <w:pPr>
        <w:pStyle w:val="6"/>
        <w:rPr>
          <w:rFonts w:hint="eastAsia" w:ascii="仿宋" w:hAnsi="仿宋" w:eastAsia="仿宋" w:cs="宋体"/>
          <w:sz w:val="24"/>
        </w:rPr>
      </w:pPr>
      <w:r>
        <w:rPr>
          <w:rFonts w:hint="eastAsia" w:ascii="仿宋" w:hAnsi="仿宋" w:eastAsia="仿宋" w:cs="宋体"/>
          <w:sz w:val="24"/>
        </w:rPr>
        <w:t>L</w:t>
      </w:r>
      <w:r>
        <w:rPr>
          <w:rFonts w:ascii="仿宋" w:hAnsi="仿宋" w:eastAsia="仿宋" w:cs="宋体"/>
          <w:sz w:val="24"/>
        </w:rPr>
        <w:t>ED屏使用现状</w:t>
      </w:r>
    </w:p>
    <w:p w14:paraId="1F8C366D">
      <w:pPr>
        <w:spacing w:line="360" w:lineRule="auto"/>
        <w:ind w:firstLine="480"/>
        <w:rPr>
          <w:rFonts w:hint="eastAsia" w:ascii="仿宋" w:hAnsi="仿宋" w:eastAsia="仿宋" w:cs="宋体"/>
          <w:sz w:val="24"/>
        </w:rPr>
      </w:pPr>
      <w:r>
        <w:rPr>
          <w:rFonts w:hint="eastAsia" w:ascii="仿宋" w:hAnsi="仿宋" w:eastAsia="仿宋" w:cs="宋体"/>
          <w:sz w:val="24"/>
        </w:rPr>
        <w:t>市府办公厅礼堂等1</w:t>
      </w:r>
      <w:r>
        <w:rPr>
          <w:rFonts w:ascii="仿宋" w:hAnsi="仿宋" w:eastAsia="仿宋" w:cs="宋体"/>
          <w:sz w:val="24"/>
        </w:rPr>
        <w:t>0</w:t>
      </w:r>
      <w:r>
        <w:rPr>
          <w:rFonts w:hint="eastAsia" w:ascii="仿宋" w:hAnsi="仿宋" w:eastAsia="仿宋" w:cs="宋体"/>
          <w:sz w:val="24"/>
        </w:rPr>
        <w:t>个会议室普遍配置了LED小间距显示设备和高清图像处理系统，用于会议使用。这些设备组成了高对比度、画面清晰流畅、高灰度、高刷新的技术先进、功能强大、使用方便的大屏显示系统，集视频会议、多媒体展示、互动体验于一体，为市政府会议参会人员提供了优质的体验。</w:t>
      </w:r>
    </w:p>
    <w:p w14:paraId="7F4B10C5">
      <w:pPr>
        <w:jc w:val="center"/>
        <w:rPr>
          <w:rFonts w:hint="eastAsia" w:ascii="仿宋" w:hAnsi="仿宋" w:eastAsia="仿宋"/>
        </w:rPr>
      </w:pPr>
      <w:r>
        <w:rPr>
          <w:rFonts w:hint="eastAsia" w:ascii="仿宋" w:hAnsi="仿宋" w:eastAsia="仿宋"/>
        </w:rPr>
        <w:t>表</w:t>
      </w:r>
      <w:r>
        <w:rPr>
          <w:rFonts w:ascii="仿宋" w:hAnsi="仿宋" w:eastAsia="仿宋"/>
        </w:rPr>
        <w:t>2</w:t>
      </w:r>
      <w:r>
        <w:rPr>
          <w:rFonts w:hint="eastAsia" w:ascii="仿宋" w:hAnsi="仿宋" w:eastAsia="仿宋"/>
        </w:rPr>
        <w:t>.</w:t>
      </w:r>
      <w:r>
        <w:rPr>
          <w:rFonts w:ascii="仿宋" w:hAnsi="仿宋" w:eastAsia="仿宋"/>
        </w:rPr>
        <w:t>2</w:t>
      </w:r>
      <w:r>
        <w:rPr>
          <w:rFonts w:hint="eastAsia" w:ascii="仿宋" w:hAnsi="仿宋" w:eastAsia="仿宋"/>
        </w:rPr>
        <w:t xml:space="preserve">  </w:t>
      </w:r>
      <w:r>
        <w:rPr>
          <w:rFonts w:ascii="仿宋" w:hAnsi="仿宋" w:eastAsia="仿宋"/>
        </w:rPr>
        <w:t>LED屏现状</w:t>
      </w:r>
    </w:p>
    <w:tbl>
      <w:tblPr>
        <w:tblStyle w:val="10"/>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835"/>
        <w:gridCol w:w="1276"/>
        <w:gridCol w:w="2268"/>
        <w:gridCol w:w="1134"/>
      </w:tblGrid>
      <w:tr w14:paraId="5D9F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704" w:type="dxa"/>
            <w:noWrap/>
            <w:vAlign w:val="center"/>
          </w:tcPr>
          <w:p w14:paraId="3D777938">
            <w:pPr>
              <w:widowControl/>
              <w:jc w:val="center"/>
              <w:rPr>
                <w:rFonts w:hint="eastAsia" w:ascii="仿宋" w:hAnsi="仿宋" w:eastAsia="仿宋" w:cs="宋体"/>
                <w:b/>
                <w:bCs/>
                <w:kern w:val="0"/>
                <w:szCs w:val="21"/>
              </w:rPr>
            </w:pPr>
            <w:r>
              <w:rPr>
                <w:rFonts w:hint="eastAsia" w:ascii="仿宋" w:hAnsi="仿宋" w:eastAsia="仿宋" w:cs="宋体"/>
                <w:b/>
                <w:bCs/>
                <w:kern w:val="0"/>
                <w:szCs w:val="21"/>
              </w:rPr>
              <w:t>序号</w:t>
            </w:r>
          </w:p>
        </w:tc>
        <w:tc>
          <w:tcPr>
            <w:tcW w:w="2835" w:type="dxa"/>
            <w:noWrap/>
            <w:vAlign w:val="center"/>
          </w:tcPr>
          <w:p w14:paraId="6D7E9B7E">
            <w:pPr>
              <w:widowControl/>
              <w:jc w:val="center"/>
              <w:rPr>
                <w:rFonts w:hint="eastAsia" w:ascii="仿宋" w:hAnsi="仿宋" w:eastAsia="仿宋" w:cs="宋体"/>
                <w:b/>
                <w:bCs/>
                <w:kern w:val="0"/>
                <w:szCs w:val="21"/>
              </w:rPr>
            </w:pPr>
            <w:r>
              <w:rPr>
                <w:rFonts w:hint="eastAsia" w:ascii="仿宋" w:hAnsi="仿宋" w:eastAsia="仿宋" w:cs="宋体"/>
                <w:b/>
                <w:bCs/>
                <w:kern w:val="0"/>
                <w:szCs w:val="21"/>
              </w:rPr>
              <w:t>名称</w:t>
            </w:r>
          </w:p>
        </w:tc>
        <w:tc>
          <w:tcPr>
            <w:tcW w:w="1276" w:type="dxa"/>
            <w:noWrap/>
            <w:vAlign w:val="center"/>
          </w:tcPr>
          <w:p w14:paraId="1283A159">
            <w:pPr>
              <w:widowControl/>
              <w:jc w:val="center"/>
              <w:rPr>
                <w:rFonts w:hint="eastAsia" w:ascii="仿宋" w:hAnsi="仿宋" w:eastAsia="仿宋" w:cs="宋体"/>
                <w:b/>
                <w:bCs/>
                <w:kern w:val="0"/>
                <w:szCs w:val="21"/>
              </w:rPr>
            </w:pPr>
            <w:r>
              <w:rPr>
                <w:rFonts w:hint="eastAsia" w:ascii="仿宋" w:hAnsi="仿宋" w:eastAsia="仿宋" w:cs="宋体"/>
                <w:b/>
                <w:bCs/>
                <w:kern w:val="0"/>
                <w:szCs w:val="21"/>
              </w:rPr>
              <w:t>型号</w:t>
            </w:r>
          </w:p>
        </w:tc>
        <w:tc>
          <w:tcPr>
            <w:tcW w:w="2268" w:type="dxa"/>
            <w:noWrap/>
            <w:vAlign w:val="center"/>
          </w:tcPr>
          <w:p w14:paraId="5BC1DD55">
            <w:pPr>
              <w:widowControl/>
              <w:jc w:val="center"/>
              <w:rPr>
                <w:rFonts w:hint="eastAsia" w:ascii="仿宋" w:hAnsi="仿宋" w:eastAsia="仿宋" w:cs="宋体"/>
                <w:b/>
                <w:bCs/>
                <w:kern w:val="0"/>
                <w:szCs w:val="21"/>
              </w:rPr>
            </w:pPr>
            <w:r>
              <w:rPr>
                <w:rFonts w:hint="eastAsia" w:ascii="仿宋" w:hAnsi="仿宋" w:eastAsia="仿宋" w:cs="宋体"/>
                <w:b/>
                <w:bCs/>
                <w:kern w:val="0"/>
                <w:szCs w:val="21"/>
              </w:rPr>
              <w:t>配置</w:t>
            </w:r>
          </w:p>
        </w:tc>
        <w:tc>
          <w:tcPr>
            <w:tcW w:w="1134" w:type="dxa"/>
            <w:vAlign w:val="center"/>
          </w:tcPr>
          <w:p w14:paraId="5624231B">
            <w:pPr>
              <w:widowControl/>
              <w:jc w:val="center"/>
              <w:rPr>
                <w:rFonts w:hint="eastAsia" w:ascii="仿宋" w:hAnsi="仿宋" w:eastAsia="仿宋" w:cs="宋体"/>
                <w:b/>
                <w:bCs/>
                <w:kern w:val="0"/>
                <w:szCs w:val="21"/>
              </w:rPr>
            </w:pPr>
            <w:r>
              <w:rPr>
                <w:rFonts w:hint="eastAsia" w:ascii="仿宋" w:hAnsi="仿宋" w:eastAsia="仿宋" w:cs="宋体"/>
                <w:b/>
                <w:bCs/>
                <w:kern w:val="0"/>
                <w:szCs w:val="21"/>
              </w:rPr>
              <w:t>运维内容</w:t>
            </w:r>
          </w:p>
        </w:tc>
      </w:tr>
      <w:tr w14:paraId="18A8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2024D8F7">
            <w:pPr>
              <w:widowControl/>
              <w:jc w:val="center"/>
              <w:rPr>
                <w:rFonts w:hint="eastAsia" w:ascii="仿宋" w:hAnsi="仿宋" w:eastAsia="仿宋" w:cs="宋体"/>
                <w:kern w:val="0"/>
                <w:szCs w:val="21"/>
              </w:rPr>
            </w:pPr>
            <w:r>
              <w:rPr>
                <w:rFonts w:hint="eastAsia" w:ascii="仿宋" w:hAnsi="仿宋" w:eastAsia="仿宋" w:cs="宋体"/>
                <w:kern w:val="0"/>
                <w:szCs w:val="21"/>
              </w:rPr>
              <w:t>1</w:t>
            </w:r>
          </w:p>
        </w:tc>
        <w:tc>
          <w:tcPr>
            <w:tcW w:w="2835" w:type="dxa"/>
            <w:noWrap/>
            <w:vAlign w:val="center"/>
          </w:tcPr>
          <w:p w14:paraId="142D0684">
            <w:pPr>
              <w:widowControl/>
              <w:jc w:val="left"/>
              <w:rPr>
                <w:rFonts w:hint="eastAsia" w:ascii="仿宋" w:hAnsi="仿宋" w:eastAsia="仿宋" w:cs="宋体"/>
                <w:kern w:val="0"/>
                <w:szCs w:val="21"/>
              </w:rPr>
            </w:pPr>
            <w:r>
              <w:rPr>
                <w:rFonts w:hint="eastAsia" w:ascii="仿宋" w:hAnsi="仿宋" w:eastAsia="仿宋" w:cs="宋体"/>
                <w:kern w:val="0"/>
                <w:szCs w:val="21"/>
              </w:rPr>
              <w:t>礼堂大屏</w:t>
            </w:r>
          </w:p>
        </w:tc>
        <w:tc>
          <w:tcPr>
            <w:tcW w:w="1276" w:type="dxa"/>
            <w:noWrap/>
            <w:vAlign w:val="center"/>
          </w:tcPr>
          <w:p w14:paraId="2C0EBD18">
            <w:pPr>
              <w:widowControl/>
              <w:jc w:val="left"/>
              <w:rPr>
                <w:rFonts w:hint="eastAsia" w:ascii="仿宋" w:hAnsi="仿宋" w:eastAsia="仿宋" w:cs="宋体"/>
                <w:kern w:val="0"/>
                <w:szCs w:val="21"/>
              </w:rPr>
            </w:pPr>
            <w:r>
              <w:rPr>
                <w:rFonts w:hint="eastAsia" w:ascii="仿宋" w:hAnsi="仿宋" w:eastAsia="仿宋" w:cs="宋体"/>
                <w:kern w:val="0"/>
                <w:szCs w:val="21"/>
              </w:rPr>
              <w:t>M1.2B</w:t>
            </w:r>
          </w:p>
        </w:tc>
        <w:tc>
          <w:tcPr>
            <w:tcW w:w="2268" w:type="dxa"/>
            <w:noWrap/>
            <w:vAlign w:val="center"/>
          </w:tcPr>
          <w:p w14:paraId="2BBD0943">
            <w:pPr>
              <w:widowControl/>
              <w:jc w:val="left"/>
              <w:rPr>
                <w:rFonts w:hint="eastAsia" w:ascii="仿宋" w:hAnsi="仿宋" w:eastAsia="仿宋" w:cs="宋体"/>
                <w:kern w:val="0"/>
                <w:szCs w:val="21"/>
              </w:rPr>
            </w:pPr>
            <w:r>
              <w:rPr>
                <w:rFonts w:hint="eastAsia" w:ascii="仿宋" w:hAnsi="仿宋" w:eastAsia="仿宋" w:cs="宋体"/>
                <w:kern w:val="0"/>
                <w:szCs w:val="21"/>
              </w:rPr>
              <w:t>24.95平方/15列*8行</w:t>
            </w:r>
          </w:p>
        </w:tc>
        <w:tc>
          <w:tcPr>
            <w:tcW w:w="1134" w:type="dxa"/>
            <w:vMerge w:val="restart"/>
            <w:vAlign w:val="center"/>
          </w:tcPr>
          <w:p w14:paraId="161409DD">
            <w:pPr>
              <w:widowControl/>
              <w:jc w:val="left"/>
              <w:rPr>
                <w:rFonts w:hint="eastAsia" w:ascii="仿宋" w:hAnsi="仿宋" w:eastAsia="仿宋" w:cs="宋体"/>
                <w:kern w:val="0"/>
                <w:szCs w:val="21"/>
              </w:rPr>
            </w:pPr>
            <w:r>
              <w:rPr>
                <w:rFonts w:hint="eastAsia" w:ascii="仿宋" w:hAnsi="仿宋" w:eastAsia="仿宋" w:cs="宋体"/>
                <w:kern w:val="0"/>
                <w:szCs w:val="21"/>
              </w:rPr>
              <w:t>设备巡检</w:t>
            </w:r>
            <w:r>
              <w:rPr>
                <w:rFonts w:hint="eastAsia" w:ascii="仿宋" w:hAnsi="仿宋" w:eastAsia="仿宋" w:cs="宋体"/>
                <w:kern w:val="0"/>
                <w:szCs w:val="21"/>
              </w:rPr>
              <w:br w:type="textWrapping"/>
            </w:r>
            <w:r>
              <w:rPr>
                <w:rFonts w:hint="eastAsia" w:ascii="仿宋" w:hAnsi="仿宋" w:eastAsia="仿宋" w:cs="宋体"/>
                <w:kern w:val="0"/>
                <w:szCs w:val="21"/>
              </w:rPr>
              <w:t>故障设备维修</w:t>
            </w:r>
          </w:p>
        </w:tc>
      </w:tr>
      <w:tr w14:paraId="37A1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24A27B28">
            <w:pPr>
              <w:widowControl/>
              <w:jc w:val="center"/>
              <w:rPr>
                <w:rFonts w:hint="eastAsia" w:ascii="仿宋" w:hAnsi="仿宋" w:eastAsia="仿宋" w:cs="宋体"/>
                <w:kern w:val="0"/>
                <w:szCs w:val="21"/>
              </w:rPr>
            </w:pPr>
            <w:r>
              <w:rPr>
                <w:rFonts w:hint="eastAsia" w:ascii="仿宋" w:hAnsi="仿宋" w:eastAsia="仿宋" w:cs="宋体"/>
                <w:kern w:val="0"/>
                <w:szCs w:val="21"/>
              </w:rPr>
              <w:t>2</w:t>
            </w:r>
          </w:p>
        </w:tc>
        <w:tc>
          <w:tcPr>
            <w:tcW w:w="2835" w:type="dxa"/>
            <w:noWrap/>
            <w:vAlign w:val="center"/>
          </w:tcPr>
          <w:p w14:paraId="2C3D1760">
            <w:pPr>
              <w:widowControl/>
              <w:jc w:val="left"/>
              <w:rPr>
                <w:rFonts w:hint="eastAsia" w:ascii="仿宋" w:hAnsi="仿宋" w:eastAsia="仿宋" w:cs="宋体"/>
                <w:kern w:val="0"/>
                <w:szCs w:val="21"/>
              </w:rPr>
            </w:pPr>
            <w:r>
              <w:rPr>
                <w:rFonts w:hint="eastAsia" w:ascii="仿宋" w:hAnsi="仿宋" w:eastAsia="仿宋" w:cs="宋体"/>
                <w:kern w:val="0"/>
                <w:szCs w:val="21"/>
              </w:rPr>
              <w:t>1号会议室</w:t>
            </w:r>
          </w:p>
        </w:tc>
        <w:tc>
          <w:tcPr>
            <w:tcW w:w="1276" w:type="dxa"/>
            <w:noWrap/>
            <w:vAlign w:val="center"/>
          </w:tcPr>
          <w:p w14:paraId="5EFDD326">
            <w:pPr>
              <w:widowControl/>
              <w:jc w:val="left"/>
              <w:rPr>
                <w:rFonts w:hint="eastAsia" w:ascii="仿宋" w:hAnsi="仿宋" w:eastAsia="仿宋" w:cs="宋体"/>
                <w:kern w:val="0"/>
                <w:szCs w:val="21"/>
              </w:rPr>
            </w:pPr>
            <w:r>
              <w:rPr>
                <w:rFonts w:hint="eastAsia" w:ascii="仿宋" w:hAnsi="仿宋" w:eastAsia="仿宋" w:cs="宋体"/>
                <w:kern w:val="0"/>
                <w:szCs w:val="21"/>
              </w:rPr>
              <w:t>R1.2</w:t>
            </w:r>
          </w:p>
        </w:tc>
        <w:tc>
          <w:tcPr>
            <w:tcW w:w="2268" w:type="dxa"/>
            <w:noWrap/>
            <w:vAlign w:val="center"/>
          </w:tcPr>
          <w:p w14:paraId="6E806B11">
            <w:pPr>
              <w:widowControl/>
              <w:jc w:val="left"/>
              <w:rPr>
                <w:rFonts w:hint="eastAsia" w:ascii="仿宋" w:hAnsi="仿宋" w:eastAsia="仿宋" w:cs="宋体"/>
                <w:kern w:val="0"/>
                <w:szCs w:val="21"/>
              </w:rPr>
            </w:pPr>
            <w:r>
              <w:rPr>
                <w:rFonts w:hint="eastAsia" w:ascii="仿宋" w:hAnsi="仿宋" w:eastAsia="仿宋" w:cs="宋体"/>
                <w:kern w:val="0"/>
                <w:szCs w:val="21"/>
              </w:rPr>
              <w:t>20.5平方/10列*10行</w:t>
            </w:r>
          </w:p>
        </w:tc>
        <w:tc>
          <w:tcPr>
            <w:tcW w:w="1134" w:type="dxa"/>
            <w:vMerge w:val="continue"/>
            <w:vAlign w:val="center"/>
          </w:tcPr>
          <w:p w14:paraId="094C76CC">
            <w:pPr>
              <w:widowControl/>
              <w:jc w:val="left"/>
              <w:rPr>
                <w:rFonts w:hint="eastAsia" w:ascii="仿宋" w:hAnsi="仿宋" w:eastAsia="仿宋" w:cs="宋体"/>
                <w:kern w:val="0"/>
                <w:szCs w:val="21"/>
              </w:rPr>
            </w:pPr>
          </w:p>
        </w:tc>
      </w:tr>
      <w:tr w14:paraId="02A2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329715FF">
            <w:pPr>
              <w:widowControl/>
              <w:jc w:val="center"/>
              <w:rPr>
                <w:rFonts w:hint="eastAsia" w:ascii="仿宋" w:hAnsi="仿宋" w:eastAsia="仿宋" w:cs="宋体"/>
                <w:kern w:val="0"/>
                <w:szCs w:val="21"/>
              </w:rPr>
            </w:pPr>
            <w:r>
              <w:rPr>
                <w:rFonts w:hint="eastAsia" w:ascii="仿宋" w:hAnsi="仿宋" w:eastAsia="仿宋" w:cs="宋体"/>
                <w:kern w:val="0"/>
                <w:szCs w:val="21"/>
              </w:rPr>
              <w:t>3</w:t>
            </w:r>
          </w:p>
        </w:tc>
        <w:tc>
          <w:tcPr>
            <w:tcW w:w="2835" w:type="dxa"/>
            <w:noWrap/>
            <w:vAlign w:val="center"/>
          </w:tcPr>
          <w:p w14:paraId="6081CAAE">
            <w:pPr>
              <w:widowControl/>
              <w:jc w:val="left"/>
              <w:rPr>
                <w:rFonts w:hint="eastAsia" w:ascii="仿宋" w:hAnsi="仿宋" w:eastAsia="仿宋" w:cs="宋体"/>
                <w:kern w:val="0"/>
                <w:szCs w:val="21"/>
              </w:rPr>
            </w:pPr>
            <w:r>
              <w:rPr>
                <w:rFonts w:hint="eastAsia" w:ascii="仿宋" w:hAnsi="仿宋" w:eastAsia="仿宋" w:cs="宋体"/>
                <w:kern w:val="0"/>
                <w:szCs w:val="21"/>
              </w:rPr>
              <w:t>一体机</w:t>
            </w:r>
          </w:p>
        </w:tc>
        <w:tc>
          <w:tcPr>
            <w:tcW w:w="1276" w:type="dxa"/>
            <w:noWrap/>
            <w:vAlign w:val="center"/>
          </w:tcPr>
          <w:p w14:paraId="64440377">
            <w:pPr>
              <w:widowControl/>
              <w:jc w:val="left"/>
              <w:rPr>
                <w:rFonts w:hint="eastAsia" w:ascii="仿宋" w:hAnsi="仿宋" w:eastAsia="仿宋" w:cs="宋体"/>
                <w:kern w:val="0"/>
                <w:szCs w:val="21"/>
              </w:rPr>
            </w:pPr>
            <w:r>
              <w:rPr>
                <w:rFonts w:hint="eastAsia" w:ascii="仿宋" w:hAnsi="仿宋" w:eastAsia="仿宋" w:cs="宋体"/>
                <w:kern w:val="0"/>
                <w:szCs w:val="21"/>
              </w:rPr>
              <w:t>LM110</w:t>
            </w:r>
          </w:p>
        </w:tc>
        <w:tc>
          <w:tcPr>
            <w:tcW w:w="2268" w:type="dxa"/>
            <w:noWrap/>
            <w:vAlign w:val="center"/>
          </w:tcPr>
          <w:p w14:paraId="023CF887">
            <w:pPr>
              <w:widowControl/>
              <w:jc w:val="left"/>
              <w:rPr>
                <w:rFonts w:hint="eastAsia" w:ascii="仿宋" w:hAnsi="仿宋" w:eastAsia="仿宋" w:cs="宋体"/>
                <w:kern w:val="0"/>
                <w:szCs w:val="21"/>
              </w:rPr>
            </w:pPr>
            <w:r>
              <w:rPr>
                <w:rFonts w:hint="eastAsia" w:ascii="仿宋" w:hAnsi="仿宋" w:eastAsia="仿宋" w:cs="宋体"/>
                <w:kern w:val="0"/>
                <w:szCs w:val="21"/>
              </w:rPr>
              <w:t xml:space="preserve">1台 </w:t>
            </w:r>
          </w:p>
        </w:tc>
        <w:tc>
          <w:tcPr>
            <w:tcW w:w="1134" w:type="dxa"/>
            <w:vMerge w:val="continue"/>
            <w:vAlign w:val="center"/>
          </w:tcPr>
          <w:p w14:paraId="737F0F53">
            <w:pPr>
              <w:widowControl/>
              <w:jc w:val="left"/>
              <w:rPr>
                <w:rFonts w:hint="eastAsia" w:ascii="仿宋" w:hAnsi="仿宋" w:eastAsia="仿宋" w:cs="宋体"/>
                <w:kern w:val="0"/>
                <w:szCs w:val="21"/>
              </w:rPr>
            </w:pPr>
          </w:p>
        </w:tc>
      </w:tr>
      <w:tr w14:paraId="72E2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73988652">
            <w:pPr>
              <w:widowControl/>
              <w:jc w:val="center"/>
              <w:rPr>
                <w:rFonts w:hint="eastAsia" w:ascii="仿宋" w:hAnsi="仿宋" w:eastAsia="仿宋" w:cs="宋体"/>
                <w:kern w:val="0"/>
                <w:szCs w:val="21"/>
              </w:rPr>
            </w:pPr>
            <w:r>
              <w:rPr>
                <w:rFonts w:hint="eastAsia" w:ascii="仿宋" w:hAnsi="仿宋" w:eastAsia="仿宋" w:cs="宋体"/>
                <w:kern w:val="0"/>
                <w:szCs w:val="21"/>
              </w:rPr>
              <w:t>4</w:t>
            </w:r>
          </w:p>
        </w:tc>
        <w:tc>
          <w:tcPr>
            <w:tcW w:w="2835" w:type="dxa"/>
            <w:noWrap/>
            <w:vAlign w:val="center"/>
          </w:tcPr>
          <w:p w14:paraId="5DFE51F5">
            <w:pPr>
              <w:widowControl/>
              <w:jc w:val="left"/>
              <w:rPr>
                <w:rFonts w:hint="eastAsia" w:ascii="仿宋" w:hAnsi="仿宋" w:eastAsia="仿宋" w:cs="宋体"/>
                <w:kern w:val="0"/>
                <w:szCs w:val="21"/>
              </w:rPr>
            </w:pPr>
            <w:r>
              <w:rPr>
                <w:rFonts w:hint="eastAsia" w:ascii="仿宋" w:hAnsi="仿宋" w:eastAsia="仿宋" w:cs="宋体"/>
                <w:kern w:val="0"/>
                <w:szCs w:val="21"/>
              </w:rPr>
              <w:t>306会议室</w:t>
            </w:r>
          </w:p>
        </w:tc>
        <w:tc>
          <w:tcPr>
            <w:tcW w:w="1276" w:type="dxa"/>
            <w:noWrap/>
            <w:vAlign w:val="center"/>
          </w:tcPr>
          <w:p w14:paraId="4E326931">
            <w:pPr>
              <w:widowControl/>
              <w:jc w:val="left"/>
              <w:rPr>
                <w:rFonts w:hint="eastAsia" w:ascii="仿宋" w:hAnsi="仿宋" w:eastAsia="仿宋" w:cs="宋体"/>
                <w:kern w:val="0"/>
                <w:szCs w:val="21"/>
              </w:rPr>
            </w:pPr>
            <w:r>
              <w:rPr>
                <w:rFonts w:hint="eastAsia" w:ascii="仿宋" w:hAnsi="仿宋" w:eastAsia="仿宋" w:cs="宋体"/>
                <w:kern w:val="0"/>
                <w:szCs w:val="21"/>
              </w:rPr>
              <w:t>M</w:t>
            </w:r>
            <w:r>
              <w:rPr>
                <w:rFonts w:ascii="仿宋" w:hAnsi="仿宋" w:eastAsia="仿宋" w:cs="宋体"/>
                <w:kern w:val="0"/>
                <w:szCs w:val="21"/>
              </w:rPr>
              <w:t>1.5</w:t>
            </w:r>
          </w:p>
        </w:tc>
        <w:tc>
          <w:tcPr>
            <w:tcW w:w="2268" w:type="dxa"/>
            <w:noWrap/>
            <w:vAlign w:val="center"/>
          </w:tcPr>
          <w:p w14:paraId="27ED45A1">
            <w:pPr>
              <w:widowControl/>
              <w:jc w:val="left"/>
              <w:rPr>
                <w:rFonts w:hint="eastAsia" w:ascii="仿宋" w:hAnsi="仿宋" w:eastAsia="仿宋" w:cs="宋体"/>
                <w:kern w:val="0"/>
                <w:szCs w:val="21"/>
              </w:rPr>
            </w:pPr>
            <w:r>
              <w:rPr>
                <w:rFonts w:hint="eastAsia" w:ascii="仿宋" w:hAnsi="仿宋" w:eastAsia="仿宋" w:cs="宋体"/>
                <w:kern w:val="0"/>
                <w:szCs w:val="21"/>
              </w:rPr>
              <w:t>约7平方</w:t>
            </w:r>
          </w:p>
        </w:tc>
        <w:tc>
          <w:tcPr>
            <w:tcW w:w="1134" w:type="dxa"/>
            <w:vMerge w:val="continue"/>
            <w:vAlign w:val="center"/>
          </w:tcPr>
          <w:p w14:paraId="3C7D419F">
            <w:pPr>
              <w:widowControl/>
              <w:jc w:val="left"/>
              <w:rPr>
                <w:rFonts w:hint="eastAsia" w:ascii="仿宋" w:hAnsi="仿宋" w:eastAsia="仿宋" w:cs="宋体"/>
                <w:kern w:val="0"/>
                <w:szCs w:val="21"/>
              </w:rPr>
            </w:pPr>
          </w:p>
        </w:tc>
      </w:tr>
      <w:tr w14:paraId="2A4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119778E0">
            <w:pPr>
              <w:widowControl/>
              <w:jc w:val="center"/>
              <w:rPr>
                <w:rFonts w:hint="eastAsia" w:ascii="仿宋" w:hAnsi="仿宋" w:eastAsia="仿宋" w:cs="宋体"/>
                <w:kern w:val="0"/>
                <w:szCs w:val="21"/>
              </w:rPr>
            </w:pPr>
            <w:r>
              <w:rPr>
                <w:rFonts w:ascii="仿宋" w:hAnsi="仿宋" w:eastAsia="仿宋" w:cs="宋体"/>
                <w:kern w:val="0"/>
                <w:szCs w:val="21"/>
              </w:rPr>
              <w:t>5</w:t>
            </w:r>
          </w:p>
        </w:tc>
        <w:tc>
          <w:tcPr>
            <w:tcW w:w="2835" w:type="dxa"/>
            <w:noWrap/>
            <w:vAlign w:val="center"/>
          </w:tcPr>
          <w:p w14:paraId="448F2CC6">
            <w:pPr>
              <w:widowControl/>
              <w:jc w:val="left"/>
              <w:rPr>
                <w:rFonts w:hint="eastAsia" w:ascii="仿宋" w:hAnsi="仿宋" w:eastAsia="仿宋" w:cs="宋体"/>
                <w:kern w:val="0"/>
                <w:szCs w:val="21"/>
              </w:rPr>
            </w:pPr>
            <w:r>
              <w:rPr>
                <w:rFonts w:hint="eastAsia" w:ascii="仿宋" w:hAnsi="仿宋" w:eastAsia="仿宋" w:cs="宋体"/>
                <w:kern w:val="0"/>
                <w:szCs w:val="21"/>
              </w:rPr>
              <w:t>1104会议室高清显示LED屏</w:t>
            </w:r>
          </w:p>
        </w:tc>
        <w:tc>
          <w:tcPr>
            <w:tcW w:w="1276" w:type="dxa"/>
            <w:noWrap/>
            <w:vAlign w:val="center"/>
          </w:tcPr>
          <w:p w14:paraId="2D2A17C4">
            <w:pPr>
              <w:widowControl/>
              <w:jc w:val="left"/>
              <w:rPr>
                <w:rFonts w:hint="eastAsia" w:ascii="仿宋" w:hAnsi="仿宋" w:eastAsia="仿宋" w:cs="宋体"/>
                <w:kern w:val="0"/>
                <w:szCs w:val="21"/>
              </w:rPr>
            </w:pPr>
            <w:r>
              <w:rPr>
                <w:rFonts w:hint="eastAsia" w:ascii="仿宋" w:hAnsi="仿宋" w:eastAsia="仿宋" w:cs="宋体"/>
                <w:kern w:val="0"/>
                <w:szCs w:val="21"/>
              </w:rPr>
              <w:t>触控一体屏</w:t>
            </w:r>
          </w:p>
        </w:tc>
        <w:tc>
          <w:tcPr>
            <w:tcW w:w="2268" w:type="dxa"/>
            <w:noWrap/>
            <w:vAlign w:val="center"/>
          </w:tcPr>
          <w:p w14:paraId="3075E222">
            <w:pPr>
              <w:widowControl/>
              <w:jc w:val="left"/>
              <w:rPr>
                <w:rFonts w:hint="eastAsia" w:ascii="仿宋" w:hAnsi="仿宋" w:eastAsia="仿宋" w:cs="宋体"/>
                <w:kern w:val="0"/>
                <w:szCs w:val="21"/>
              </w:rPr>
            </w:pPr>
            <w:r>
              <w:rPr>
                <w:rFonts w:hint="eastAsia" w:ascii="仿宋" w:hAnsi="仿宋" w:eastAsia="仿宋" w:cs="宋体"/>
                <w:kern w:val="0"/>
                <w:szCs w:val="21"/>
              </w:rPr>
              <w:t>维曼 5㎡ POV1.5</w:t>
            </w:r>
          </w:p>
        </w:tc>
        <w:tc>
          <w:tcPr>
            <w:tcW w:w="1134" w:type="dxa"/>
            <w:vMerge w:val="continue"/>
            <w:vAlign w:val="center"/>
          </w:tcPr>
          <w:p w14:paraId="1F5D2A76">
            <w:pPr>
              <w:widowControl/>
              <w:jc w:val="left"/>
              <w:rPr>
                <w:rFonts w:hint="eastAsia" w:ascii="仿宋" w:hAnsi="仿宋" w:eastAsia="仿宋" w:cs="宋体"/>
                <w:kern w:val="0"/>
                <w:szCs w:val="21"/>
              </w:rPr>
            </w:pPr>
          </w:p>
        </w:tc>
      </w:tr>
      <w:tr w14:paraId="2181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5ED48D0A">
            <w:pPr>
              <w:widowControl/>
              <w:jc w:val="center"/>
              <w:rPr>
                <w:rFonts w:hint="eastAsia" w:ascii="仿宋" w:hAnsi="仿宋" w:eastAsia="仿宋" w:cs="宋体"/>
                <w:kern w:val="0"/>
                <w:szCs w:val="21"/>
              </w:rPr>
            </w:pPr>
            <w:r>
              <w:rPr>
                <w:rFonts w:ascii="仿宋" w:hAnsi="仿宋" w:eastAsia="仿宋" w:cs="宋体"/>
                <w:kern w:val="0"/>
                <w:szCs w:val="21"/>
              </w:rPr>
              <w:t>6</w:t>
            </w:r>
          </w:p>
        </w:tc>
        <w:tc>
          <w:tcPr>
            <w:tcW w:w="2835" w:type="dxa"/>
            <w:noWrap/>
            <w:vAlign w:val="center"/>
          </w:tcPr>
          <w:p w14:paraId="4FDBC54E">
            <w:pPr>
              <w:widowControl/>
              <w:jc w:val="left"/>
              <w:rPr>
                <w:rFonts w:hint="eastAsia" w:ascii="仿宋" w:hAnsi="仿宋" w:eastAsia="仿宋" w:cs="宋体"/>
                <w:kern w:val="0"/>
                <w:szCs w:val="21"/>
              </w:rPr>
            </w:pPr>
            <w:r>
              <w:rPr>
                <w:rFonts w:hint="eastAsia" w:ascii="仿宋" w:hAnsi="仿宋" w:eastAsia="仿宋" w:cs="宋体"/>
                <w:kern w:val="0"/>
                <w:szCs w:val="21"/>
              </w:rPr>
              <w:t>1105会议室高清显示LED屏</w:t>
            </w:r>
          </w:p>
        </w:tc>
        <w:tc>
          <w:tcPr>
            <w:tcW w:w="1276" w:type="dxa"/>
            <w:noWrap/>
            <w:vAlign w:val="center"/>
          </w:tcPr>
          <w:p w14:paraId="12C3FAC7">
            <w:pPr>
              <w:widowControl/>
              <w:jc w:val="left"/>
              <w:rPr>
                <w:rFonts w:hint="eastAsia" w:ascii="仿宋" w:hAnsi="仿宋" w:eastAsia="仿宋" w:cs="宋体"/>
                <w:kern w:val="0"/>
                <w:szCs w:val="21"/>
              </w:rPr>
            </w:pPr>
            <w:r>
              <w:rPr>
                <w:rFonts w:hint="eastAsia" w:ascii="仿宋" w:hAnsi="仿宋" w:eastAsia="仿宋" w:cs="宋体"/>
                <w:kern w:val="0"/>
                <w:szCs w:val="21"/>
              </w:rPr>
              <w:t>触控一体屏</w:t>
            </w:r>
          </w:p>
        </w:tc>
        <w:tc>
          <w:tcPr>
            <w:tcW w:w="2268" w:type="dxa"/>
            <w:noWrap/>
            <w:vAlign w:val="center"/>
          </w:tcPr>
          <w:p w14:paraId="5EC6DDE8">
            <w:pPr>
              <w:widowControl/>
              <w:jc w:val="left"/>
              <w:rPr>
                <w:rFonts w:hint="eastAsia" w:ascii="仿宋" w:hAnsi="仿宋" w:eastAsia="仿宋" w:cs="宋体"/>
                <w:kern w:val="0"/>
                <w:szCs w:val="21"/>
              </w:rPr>
            </w:pPr>
            <w:r>
              <w:rPr>
                <w:rFonts w:hint="eastAsia" w:ascii="仿宋" w:hAnsi="仿宋" w:eastAsia="仿宋" w:cs="宋体"/>
                <w:kern w:val="0"/>
                <w:szCs w:val="21"/>
              </w:rPr>
              <w:t>维曼 5㎡ POV1.5</w:t>
            </w:r>
          </w:p>
        </w:tc>
        <w:tc>
          <w:tcPr>
            <w:tcW w:w="1134" w:type="dxa"/>
            <w:vMerge w:val="continue"/>
            <w:vAlign w:val="center"/>
          </w:tcPr>
          <w:p w14:paraId="7A9C1358">
            <w:pPr>
              <w:widowControl/>
              <w:jc w:val="left"/>
              <w:rPr>
                <w:rFonts w:hint="eastAsia" w:ascii="仿宋" w:hAnsi="仿宋" w:eastAsia="仿宋" w:cs="宋体"/>
                <w:kern w:val="0"/>
                <w:szCs w:val="21"/>
              </w:rPr>
            </w:pPr>
          </w:p>
        </w:tc>
      </w:tr>
      <w:tr w14:paraId="1FF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09BAFBDE">
            <w:pPr>
              <w:widowControl/>
              <w:jc w:val="center"/>
              <w:rPr>
                <w:rFonts w:hint="eastAsia" w:ascii="仿宋" w:hAnsi="仿宋" w:eastAsia="仿宋" w:cs="宋体"/>
                <w:kern w:val="0"/>
                <w:szCs w:val="21"/>
              </w:rPr>
            </w:pPr>
            <w:r>
              <w:rPr>
                <w:rFonts w:ascii="仿宋" w:hAnsi="仿宋" w:eastAsia="仿宋" w:cs="宋体"/>
                <w:kern w:val="0"/>
                <w:szCs w:val="21"/>
              </w:rPr>
              <w:t>7</w:t>
            </w:r>
          </w:p>
        </w:tc>
        <w:tc>
          <w:tcPr>
            <w:tcW w:w="2835" w:type="dxa"/>
            <w:noWrap/>
            <w:vAlign w:val="center"/>
          </w:tcPr>
          <w:p w14:paraId="29FF1EE5">
            <w:pPr>
              <w:widowControl/>
              <w:jc w:val="left"/>
              <w:rPr>
                <w:rFonts w:hint="eastAsia" w:ascii="仿宋" w:hAnsi="仿宋" w:eastAsia="仿宋" w:cs="宋体"/>
                <w:kern w:val="0"/>
                <w:szCs w:val="21"/>
              </w:rPr>
            </w:pPr>
            <w:r>
              <w:rPr>
                <w:rFonts w:hint="eastAsia" w:ascii="仿宋" w:hAnsi="仿宋" w:eastAsia="仿宋" w:cs="宋体"/>
                <w:kern w:val="0"/>
                <w:szCs w:val="21"/>
              </w:rPr>
              <w:t>1106会议室高清显示LED屏</w:t>
            </w:r>
          </w:p>
        </w:tc>
        <w:tc>
          <w:tcPr>
            <w:tcW w:w="1276" w:type="dxa"/>
            <w:noWrap/>
            <w:vAlign w:val="center"/>
          </w:tcPr>
          <w:p w14:paraId="6835B0DE">
            <w:pPr>
              <w:widowControl/>
              <w:jc w:val="left"/>
              <w:rPr>
                <w:rFonts w:hint="eastAsia" w:ascii="仿宋" w:hAnsi="仿宋" w:eastAsia="仿宋" w:cs="宋体"/>
                <w:kern w:val="0"/>
                <w:szCs w:val="21"/>
              </w:rPr>
            </w:pPr>
            <w:r>
              <w:rPr>
                <w:rFonts w:hint="eastAsia" w:ascii="仿宋" w:hAnsi="仿宋" w:eastAsia="仿宋" w:cs="宋体"/>
                <w:kern w:val="0"/>
                <w:szCs w:val="21"/>
              </w:rPr>
              <w:t>触控一体屏</w:t>
            </w:r>
          </w:p>
        </w:tc>
        <w:tc>
          <w:tcPr>
            <w:tcW w:w="2268" w:type="dxa"/>
            <w:noWrap/>
            <w:vAlign w:val="center"/>
          </w:tcPr>
          <w:p w14:paraId="4A87A684">
            <w:pPr>
              <w:widowControl/>
              <w:jc w:val="left"/>
              <w:rPr>
                <w:rFonts w:hint="eastAsia" w:ascii="仿宋" w:hAnsi="仿宋" w:eastAsia="仿宋" w:cs="宋体"/>
                <w:kern w:val="0"/>
                <w:szCs w:val="21"/>
              </w:rPr>
            </w:pPr>
            <w:r>
              <w:rPr>
                <w:rFonts w:hint="eastAsia" w:ascii="仿宋" w:hAnsi="仿宋" w:eastAsia="仿宋" w:cs="宋体"/>
                <w:kern w:val="0"/>
                <w:szCs w:val="21"/>
              </w:rPr>
              <w:t>维曼 5㎡ POV1.5</w:t>
            </w:r>
          </w:p>
        </w:tc>
        <w:tc>
          <w:tcPr>
            <w:tcW w:w="1134" w:type="dxa"/>
            <w:vMerge w:val="continue"/>
            <w:vAlign w:val="center"/>
          </w:tcPr>
          <w:p w14:paraId="7FAF39E2">
            <w:pPr>
              <w:widowControl/>
              <w:jc w:val="left"/>
              <w:rPr>
                <w:rFonts w:hint="eastAsia" w:ascii="仿宋" w:hAnsi="仿宋" w:eastAsia="仿宋" w:cs="宋体"/>
                <w:kern w:val="0"/>
                <w:szCs w:val="21"/>
              </w:rPr>
            </w:pPr>
          </w:p>
        </w:tc>
      </w:tr>
      <w:tr w14:paraId="348F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4D2FA319">
            <w:pPr>
              <w:widowControl/>
              <w:jc w:val="center"/>
              <w:rPr>
                <w:rFonts w:hint="eastAsia" w:ascii="仿宋" w:hAnsi="仿宋" w:eastAsia="仿宋" w:cs="宋体"/>
                <w:kern w:val="0"/>
                <w:szCs w:val="21"/>
              </w:rPr>
            </w:pPr>
            <w:r>
              <w:rPr>
                <w:rFonts w:ascii="仿宋" w:hAnsi="仿宋" w:eastAsia="仿宋" w:cs="宋体"/>
                <w:kern w:val="0"/>
                <w:szCs w:val="21"/>
              </w:rPr>
              <w:t>8</w:t>
            </w:r>
          </w:p>
        </w:tc>
        <w:tc>
          <w:tcPr>
            <w:tcW w:w="2835" w:type="dxa"/>
            <w:noWrap/>
            <w:vAlign w:val="center"/>
          </w:tcPr>
          <w:p w14:paraId="303FABDB">
            <w:pPr>
              <w:widowControl/>
              <w:jc w:val="left"/>
              <w:rPr>
                <w:rFonts w:hint="eastAsia" w:ascii="仿宋" w:hAnsi="仿宋" w:eastAsia="仿宋" w:cs="宋体"/>
                <w:kern w:val="0"/>
                <w:szCs w:val="21"/>
              </w:rPr>
            </w:pPr>
            <w:r>
              <w:rPr>
                <w:rFonts w:hint="eastAsia" w:ascii="仿宋" w:hAnsi="仿宋" w:eastAsia="仿宋" w:cs="宋体"/>
                <w:kern w:val="0"/>
                <w:szCs w:val="21"/>
              </w:rPr>
              <w:t>227会议室高清显示LED屏</w:t>
            </w:r>
          </w:p>
        </w:tc>
        <w:tc>
          <w:tcPr>
            <w:tcW w:w="1276" w:type="dxa"/>
            <w:noWrap/>
            <w:vAlign w:val="center"/>
          </w:tcPr>
          <w:p w14:paraId="4A48CBAD">
            <w:pPr>
              <w:widowControl/>
              <w:jc w:val="left"/>
              <w:rPr>
                <w:rFonts w:hint="eastAsia" w:ascii="仿宋" w:hAnsi="仿宋" w:eastAsia="仿宋" w:cs="宋体"/>
                <w:kern w:val="0"/>
                <w:szCs w:val="21"/>
              </w:rPr>
            </w:pPr>
            <w:r>
              <w:rPr>
                <w:rFonts w:hint="eastAsia" w:ascii="仿宋" w:hAnsi="仿宋" w:eastAsia="仿宋" w:cs="宋体"/>
                <w:kern w:val="0"/>
                <w:szCs w:val="21"/>
              </w:rPr>
              <w:t>触控一体屏</w:t>
            </w:r>
          </w:p>
        </w:tc>
        <w:tc>
          <w:tcPr>
            <w:tcW w:w="2268" w:type="dxa"/>
            <w:noWrap/>
            <w:vAlign w:val="center"/>
          </w:tcPr>
          <w:p w14:paraId="41873CE7">
            <w:pPr>
              <w:widowControl/>
              <w:jc w:val="left"/>
              <w:rPr>
                <w:rFonts w:hint="eastAsia" w:ascii="仿宋" w:hAnsi="仿宋" w:eastAsia="仿宋" w:cs="宋体"/>
                <w:kern w:val="0"/>
                <w:szCs w:val="21"/>
              </w:rPr>
            </w:pPr>
            <w:r>
              <w:rPr>
                <w:rFonts w:hint="eastAsia" w:ascii="仿宋" w:hAnsi="仿宋" w:eastAsia="仿宋" w:cs="宋体"/>
                <w:kern w:val="0"/>
                <w:szCs w:val="21"/>
              </w:rPr>
              <w:t>维曼 5㎡ POV1.5</w:t>
            </w:r>
          </w:p>
        </w:tc>
        <w:tc>
          <w:tcPr>
            <w:tcW w:w="1134" w:type="dxa"/>
            <w:vMerge w:val="continue"/>
            <w:vAlign w:val="center"/>
          </w:tcPr>
          <w:p w14:paraId="1E7AF030">
            <w:pPr>
              <w:widowControl/>
              <w:jc w:val="left"/>
              <w:rPr>
                <w:rFonts w:hint="eastAsia" w:ascii="仿宋" w:hAnsi="仿宋" w:eastAsia="仿宋" w:cs="宋体"/>
                <w:kern w:val="0"/>
                <w:szCs w:val="21"/>
              </w:rPr>
            </w:pPr>
          </w:p>
        </w:tc>
      </w:tr>
      <w:tr w14:paraId="7BD6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1D6366BF">
            <w:pPr>
              <w:widowControl/>
              <w:jc w:val="center"/>
              <w:rPr>
                <w:rFonts w:hint="eastAsia" w:ascii="仿宋" w:hAnsi="仿宋" w:eastAsia="仿宋" w:cs="宋体"/>
                <w:kern w:val="0"/>
                <w:szCs w:val="21"/>
              </w:rPr>
            </w:pPr>
            <w:r>
              <w:rPr>
                <w:rFonts w:ascii="仿宋" w:hAnsi="仿宋" w:eastAsia="仿宋" w:cs="宋体"/>
                <w:kern w:val="0"/>
                <w:szCs w:val="21"/>
              </w:rPr>
              <w:t>9</w:t>
            </w:r>
          </w:p>
        </w:tc>
        <w:tc>
          <w:tcPr>
            <w:tcW w:w="2835" w:type="dxa"/>
            <w:noWrap/>
            <w:vAlign w:val="center"/>
          </w:tcPr>
          <w:p w14:paraId="3F500EF0">
            <w:pPr>
              <w:widowControl/>
              <w:jc w:val="left"/>
              <w:rPr>
                <w:rFonts w:hint="eastAsia" w:ascii="仿宋" w:hAnsi="仿宋" w:eastAsia="仿宋" w:cs="宋体"/>
                <w:kern w:val="0"/>
                <w:szCs w:val="21"/>
              </w:rPr>
            </w:pPr>
            <w:r>
              <w:rPr>
                <w:rFonts w:hint="eastAsia" w:ascii="仿宋" w:hAnsi="仿宋" w:eastAsia="仿宋" w:cs="宋体"/>
                <w:kern w:val="0"/>
                <w:szCs w:val="21"/>
              </w:rPr>
              <w:t>216会议室高清显示LED屏</w:t>
            </w:r>
          </w:p>
        </w:tc>
        <w:tc>
          <w:tcPr>
            <w:tcW w:w="1276" w:type="dxa"/>
            <w:noWrap/>
            <w:vAlign w:val="center"/>
          </w:tcPr>
          <w:p w14:paraId="16E945B6">
            <w:pPr>
              <w:widowControl/>
              <w:jc w:val="left"/>
              <w:rPr>
                <w:rFonts w:hint="eastAsia" w:ascii="仿宋" w:hAnsi="仿宋" w:eastAsia="仿宋" w:cs="宋体"/>
                <w:kern w:val="0"/>
                <w:szCs w:val="21"/>
              </w:rPr>
            </w:pPr>
            <w:r>
              <w:rPr>
                <w:rFonts w:hint="eastAsia" w:ascii="仿宋" w:hAnsi="仿宋" w:eastAsia="仿宋" w:cs="宋体"/>
                <w:kern w:val="0"/>
                <w:szCs w:val="21"/>
              </w:rPr>
              <w:t>LED屏</w:t>
            </w:r>
          </w:p>
        </w:tc>
        <w:tc>
          <w:tcPr>
            <w:tcW w:w="2268" w:type="dxa"/>
            <w:noWrap/>
            <w:vAlign w:val="center"/>
          </w:tcPr>
          <w:p w14:paraId="0AE70DCB">
            <w:pPr>
              <w:widowControl/>
              <w:jc w:val="left"/>
              <w:rPr>
                <w:rFonts w:hint="eastAsia" w:ascii="仿宋" w:hAnsi="仿宋" w:eastAsia="仿宋" w:cs="宋体"/>
                <w:kern w:val="0"/>
                <w:szCs w:val="21"/>
              </w:rPr>
            </w:pPr>
            <w:r>
              <w:rPr>
                <w:rFonts w:hint="eastAsia" w:ascii="仿宋" w:hAnsi="仿宋" w:eastAsia="仿宋" w:cs="宋体"/>
                <w:kern w:val="0"/>
                <w:szCs w:val="21"/>
              </w:rPr>
              <w:t>维曼 9.92㎡ POV1.2</w:t>
            </w:r>
          </w:p>
        </w:tc>
        <w:tc>
          <w:tcPr>
            <w:tcW w:w="1134" w:type="dxa"/>
            <w:vMerge w:val="continue"/>
            <w:vAlign w:val="center"/>
          </w:tcPr>
          <w:p w14:paraId="0C5B5CF5">
            <w:pPr>
              <w:widowControl/>
              <w:jc w:val="left"/>
              <w:rPr>
                <w:rFonts w:hint="eastAsia" w:ascii="仿宋" w:hAnsi="仿宋" w:eastAsia="仿宋" w:cs="宋体"/>
                <w:kern w:val="0"/>
                <w:szCs w:val="21"/>
              </w:rPr>
            </w:pPr>
          </w:p>
        </w:tc>
      </w:tr>
      <w:tr w14:paraId="4767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04" w:type="dxa"/>
            <w:noWrap/>
            <w:vAlign w:val="center"/>
          </w:tcPr>
          <w:p w14:paraId="266AE4CA">
            <w:pPr>
              <w:widowControl/>
              <w:jc w:val="center"/>
              <w:rPr>
                <w:rFonts w:hint="eastAsia" w:ascii="仿宋" w:hAnsi="仿宋" w:eastAsia="仿宋" w:cs="宋体"/>
                <w:kern w:val="0"/>
                <w:szCs w:val="21"/>
              </w:rPr>
            </w:pPr>
            <w:r>
              <w:rPr>
                <w:rFonts w:hint="eastAsia" w:ascii="仿宋" w:hAnsi="仿宋" w:eastAsia="仿宋" w:cs="宋体"/>
                <w:kern w:val="0"/>
                <w:szCs w:val="21"/>
              </w:rPr>
              <w:t>1</w:t>
            </w:r>
            <w:r>
              <w:rPr>
                <w:rFonts w:ascii="仿宋" w:hAnsi="仿宋" w:eastAsia="仿宋" w:cs="宋体"/>
                <w:kern w:val="0"/>
                <w:szCs w:val="21"/>
              </w:rPr>
              <w:t>0</w:t>
            </w:r>
          </w:p>
        </w:tc>
        <w:tc>
          <w:tcPr>
            <w:tcW w:w="2835" w:type="dxa"/>
            <w:noWrap/>
            <w:vAlign w:val="center"/>
          </w:tcPr>
          <w:p w14:paraId="11D8FD57">
            <w:pPr>
              <w:widowControl/>
              <w:jc w:val="left"/>
              <w:rPr>
                <w:rFonts w:hint="eastAsia" w:ascii="仿宋" w:hAnsi="仿宋" w:eastAsia="仿宋" w:cs="宋体"/>
                <w:kern w:val="0"/>
                <w:szCs w:val="21"/>
              </w:rPr>
            </w:pPr>
            <w:r>
              <w:rPr>
                <w:rFonts w:hint="eastAsia" w:ascii="仿宋" w:hAnsi="仿宋" w:eastAsia="仿宋" w:cs="宋体"/>
                <w:kern w:val="0"/>
                <w:szCs w:val="21"/>
              </w:rPr>
              <w:t>总值班室</w:t>
            </w:r>
          </w:p>
        </w:tc>
        <w:tc>
          <w:tcPr>
            <w:tcW w:w="1276" w:type="dxa"/>
            <w:noWrap/>
            <w:vAlign w:val="center"/>
          </w:tcPr>
          <w:p w14:paraId="576DCDEE">
            <w:pPr>
              <w:widowControl/>
              <w:jc w:val="left"/>
              <w:rPr>
                <w:rFonts w:hint="eastAsia" w:ascii="仿宋" w:hAnsi="仿宋" w:eastAsia="仿宋" w:cs="宋体"/>
                <w:kern w:val="0"/>
                <w:szCs w:val="21"/>
              </w:rPr>
            </w:pPr>
            <w:r>
              <w:rPr>
                <w:rFonts w:hint="eastAsia" w:ascii="仿宋" w:hAnsi="仿宋" w:eastAsia="仿宋" w:cs="宋体"/>
                <w:kern w:val="0"/>
                <w:szCs w:val="21"/>
              </w:rPr>
              <w:t>室内LED显示屏</w:t>
            </w:r>
          </w:p>
        </w:tc>
        <w:tc>
          <w:tcPr>
            <w:tcW w:w="2268" w:type="dxa"/>
            <w:noWrap/>
            <w:vAlign w:val="center"/>
          </w:tcPr>
          <w:p w14:paraId="147108F4">
            <w:pPr>
              <w:widowControl/>
              <w:jc w:val="left"/>
              <w:rPr>
                <w:rFonts w:hint="eastAsia" w:ascii="仿宋" w:hAnsi="仿宋" w:eastAsia="仿宋" w:cs="宋体"/>
                <w:kern w:val="0"/>
                <w:szCs w:val="21"/>
              </w:rPr>
            </w:pPr>
            <w:r>
              <w:rPr>
                <w:rFonts w:hint="eastAsia" w:ascii="仿宋" w:hAnsi="仿宋" w:eastAsia="仿宋" w:cs="宋体"/>
                <w:kern w:val="0"/>
                <w:szCs w:val="21"/>
              </w:rPr>
              <w:t>维曼 P1.25，尺寸W4800MM*H3037.5MM，含6块发送卡。</w:t>
            </w:r>
          </w:p>
        </w:tc>
        <w:tc>
          <w:tcPr>
            <w:tcW w:w="1134" w:type="dxa"/>
            <w:vMerge w:val="continue"/>
            <w:vAlign w:val="center"/>
          </w:tcPr>
          <w:p w14:paraId="4DF74CAD">
            <w:pPr>
              <w:widowControl/>
              <w:jc w:val="left"/>
              <w:rPr>
                <w:rFonts w:hint="eastAsia" w:ascii="仿宋" w:hAnsi="仿宋" w:eastAsia="仿宋" w:cs="宋体"/>
                <w:kern w:val="0"/>
                <w:szCs w:val="21"/>
              </w:rPr>
            </w:pPr>
          </w:p>
        </w:tc>
      </w:tr>
    </w:tbl>
    <w:p w14:paraId="753F1C03">
      <w:pPr>
        <w:spacing w:line="360" w:lineRule="auto"/>
        <w:ind w:firstLine="480"/>
        <w:rPr>
          <w:rFonts w:hint="eastAsia" w:ascii="仿宋" w:hAnsi="仿宋" w:eastAsia="仿宋" w:cs="宋体"/>
          <w:sz w:val="24"/>
        </w:rPr>
      </w:pPr>
      <w:r>
        <w:rPr>
          <w:rFonts w:hint="eastAsia" w:ascii="仿宋" w:hAnsi="仿宋" w:eastAsia="仿宋" w:cs="宋体"/>
          <w:sz w:val="24"/>
        </w:rPr>
        <w:t>L</w:t>
      </w:r>
      <w:r>
        <w:rPr>
          <w:rFonts w:ascii="仿宋" w:hAnsi="仿宋" w:eastAsia="仿宋" w:cs="宋体"/>
          <w:sz w:val="24"/>
        </w:rPr>
        <w:t>ED屏</w:t>
      </w:r>
      <w:r>
        <w:rPr>
          <w:rFonts w:hint="eastAsia" w:ascii="仿宋" w:hAnsi="仿宋" w:eastAsia="仿宋" w:cs="宋体"/>
          <w:sz w:val="24"/>
        </w:rPr>
        <w:t>系统需采购运维服务，未纳入信息基础设施统一运维服务，在本项目采购运维服务。</w:t>
      </w:r>
    </w:p>
    <w:p w14:paraId="0445E871">
      <w:pPr>
        <w:spacing w:line="360" w:lineRule="auto"/>
        <w:ind w:firstLine="480"/>
        <w:rPr>
          <w:rFonts w:hint="eastAsia" w:ascii="仿宋" w:hAnsi="仿宋" w:eastAsia="仿宋" w:cs="宋体"/>
          <w:sz w:val="24"/>
        </w:rPr>
      </w:pPr>
      <w:r>
        <w:rPr>
          <w:rFonts w:ascii="仿宋" w:hAnsi="仿宋" w:eastAsia="仿宋" w:cs="宋体"/>
          <w:sz w:val="24"/>
        </w:rPr>
        <w:t>会议室其他信息化基础设施设备已纳入</w:t>
      </w:r>
      <w:r>
        <w:rPr>
          <w:rFonts w:hint="eastAsia" w:ascii="仿宋" w:hAnsi="仿宋" w:eastAsia="仿宋" w:cs="宋体"/>
          <w:sz w:val="24"/>
        </w:rPr>
        <w:t>信息基础设施统一运维服务，本项目运维服务，应会同统一运维服务项目，共同保障整个会议室系统的正常使用。</w:t>
      </w:r>
    </w:p>
    <w:p w14:paraId="4E156F9E">
      <w:pPr>
        <w:pStyle w:val="6"/>
        <w:rPr>
          <w:rFonts w:hint="eastAsia" w:ascii="仿宋" w:hAnsi="仿宋" w:eastAsia="仿宋" w:cs="宋体"/>
          <w:sz w:val="24"/>
        </w:rPr>
      </w:pPr>
      <w:r>
        <w:rPr>
          <w:rFonts w:hint="eastAsia" w:ascii="仿宋" w:hAnsi="仿宋" w:eastAsia="仿宋" w:cs="宋体"/>
          <w:sz w:val="24"/>
        </w:rPr>
        <w:t>服务要求</w:t>
      </w:r>
    </w:p>
    <w:p w14:paraId="5221574F">
      <w:pPr>
        <w:spacing w:line="360" w:lineRule="auto"/>
        <w:ind w:firstLine="480"/>
        <w:rPr>
          <w:rFonts w:hint="eastAsia" w:ascii="仿宋" w:hAnsi="仿宋" w:eastAsia="仿宋" w:cs="宋体"/>
          <w:sz w:val="24"/>
        </w:rPr>
      </w:pPr>
      <w:r>
        <w:rPr>
          <w:rFonts w:hint="eastAsia" w:ascii="仿宋" w:hAnsi="仿宋" w:eastAsia="仿宋" w:cs="宋体"/>
          <w:sz w:val="24"/>
        </w:rPr>
        <w:t>为确保系统在维保期内稳定、高效运行，中标人须满足以下服务要求：</w:t>
      </w:r>
    </w:p>
    <w:p w14:paraId="42495D3D">
      <w:pPr>
        <w:spacing w:line="360" w:lineRule="auto"/>
        <w:ind w:firstLine="480"/>
        <w:rPr>
          <w:rFonts w:hint="eastAsia" w:ascii="仿宋" w:hAnsi="仿宋" w:eastAsia="仿宋" w:cs="宋体"/>
          <w:sz w:val="24"/>
        </w:rPr>
      </w:pPr>
      <w:r>
        <w:rPr>
          <w:rFonts w:hint="eastAsia" w:ascii="仿宋" w:hAnsi="仿宋" w:eastAsia="仿宋" w:cs="宋体"/>
          <w:sz w:val="24"/>
        </w:rPr>
        <w:t xml:space="preserve">1、响应时效性  </w:t>
      </w:r>
    </w:p>
    <w:p w14:paraId="75DC6D21">
      <w:pPr>
        <w:spacing w:line="360" w:lineRule="auto"/>
        <w:ind w:firstLine="480"/>
        <w:rPr>
          <w:rFonts w:hint="eastAsia" w:ascii="仿宋" w:hAnsi="仿宋" w:eastAsia="仿宋" w:cs="宋体"/>
          <w:sz w:val="24"/>
        </w:rPr>
      </w:pPr>
      <w:r>
        <w:rPr>
          <w:rFonts w:hint="eastAsia" w:ascii="仿宋" w:hAnsi="仿宋" w:eastAsia="仿宋" w:cs="宋体"/>
          <w:sz w:val="24"/>
        </w:rPr>
        <w:t>在维保期内，系统发生故障时，中标人应在接到甲方通知后 2小时内抵达现场。</w:t>
      </w:r>
    </w:p>
    <w:p w14:paraId="7920AB3A">
      <w:pPr>
        <w:spacing w:line="360" w:lineRule="auto"/>
        <w:ind w:firstLine="480"/>
        <w:rPr>
          <w:rFonts w:hint="eastAsia" w:ascii="仿宋" w:hAnsi="仿宋" w:eastAsia="仿宋" w:cs="宋体"/>
          <w:sz w:val="24"/>
        </w:rPr>
      </w:pPr>
      <w:r>
        <w:rPr>
          <w:rFonts w:hint="eastAsia" w:ascii="仿宋" w:hAnsi="仿宋" w:eastAsia="仿宋" w:cs="宋体"/>
          <w:sz w:val="24"/>
        </w:rPr>
        <w:t xml:space="preserve">2、故障维修服务  </w:t>
      </w:r>
    </w:p>
    <w:p w14:paraId="5938A4D4">
      <w:pPr>
        <w:spacing w:line="360" w:lineRule="auto"/>
        <w:ind w:firstLine="480"/>
        <w:rPr>
          <w:rFonts w:hint="eastAsia" w:ascii="仿宋" w:hAnsi="仿宋" w:eastAsia="仿宋" w:cs="宋体"/>
          <w:sz w:val="24"/>
        </w:rPr>
      </w:pPr>
      <w:r>
        <w:rPr>
          <w:rFonts w:hint="eastAsia" w:ascii="仿宋" w:hAnsi="仿宋" w:eastAsia="仿宋" w:cs="宋体"/>
          <w:sz w:val="24"/>
        </w:rPr>
        <w:t xml:space="preserve">设备出现故障：响应时间不超过 2小时；一般问题应在 4小时内解决；重大故障应在 24小时内排除、修复或更换零部件；相关的设备、材料、人工等全部费用由中标人承担。 </w:t>
      </w:r>
    </w:p>
    <w:p w14:paraId="6D73330C">
      <w:pPr>
        <w:spacing w:line="360" w:lineRule="auto"/>
        <w:ind w:firstLine="480"/>
        <w:rPr>
          <w:rFonts w:hint="eastAsia" w:ascii="仿宋" w:hAnsi="仿宋" w:eastAsia="仿宋" w:cs="宋体"/>
          <w:sz w:val="24"/>
        </w:rPr>
      </w:pPr>
      <w:r>
        <w:rPr>
          <w:rFonts w:hint="eastAsia" w:ascii="仿宋" w:hAnsi="仿宋" w:eastAsia="仿宋" w:cs="宋体"/>
          <w:sz w:val="24"/>
        </w:rPr>
        <w:t>因甲方使用不当造成的系统故障： 中标人应派员到场处理，协助排除故障；如需更换零部件，可酌情收取成本费用。</w:t>
      </w:r>
    </w:p>
    <w:p w14:paraId="5258F702">
      <w:pPr>
        <w:spacing w:line="360" w:lineRule="auto"/>
        <w:ind w:firstLine="480"/>
        <w:rPr>
          <w:rFonts w:hint="eastAsia" w:ascii="仿宋" w:hAnsi="仿宋" w:eastAsia="仿宋" w:cs="宋体"/>
          <w:sz w:val="24"/>
        </w:rPr>
      </w:pPr>
      <w:r>
        <w:rPr>
          <w:rFonts w:hint="eastAsia" w:ascii="仿宋" w:hAnsi="仿宋" w:eastAsia="仿宋" w:cs="宋体"/>
          <w:sz w:val="24"/>
        </w:rPr>
        <w:t>所有维修服务完成后，须出具服务报告，由甲乙双方确认并各自存档，同时纳入设备维护档案，确保设备恢复正常运行状态。</w:t>
      </w:r>
    </w:p>
    <w:p w14:paraId="02F9B419">
      <w:pPr>
        <w:spacing w:line="360" w:lineRule="auto"/>
        <w:ind w:firstLine="480"/>
        <w:rPr>
          <w:rFonts w:hint="eastAsia" w:ascii="仿宋" w:hAnsi="仿宋" w:eastAsia="仿宋" w:cs="宋体"/>
          <w:sz w:val="24"/>
        </w:rPr>
      </w:pPr>
      <w:r>
        <w:rPr>
          <w:rFonts w:hint="eastAsia" w:ascii="仿宋" w:hAnsi="仿宋" w:eastAsia="仿宋" w:cs="宋体"/>
          <w:sz w:val="24"/>
        </w:rPr>
        <w:t xml:space="preserve">3、定期巡检  </w:t>
      </w:r>
    </w:p>
    <w:p w14:paraId="48B09DEE">
      <w:pPr>
        <w:spacing w:line="360" w:lineRule="auto"/>
        <w:ind w:firstLine="480"/>
        <w:rPr>
          <w:rFonts w:hint="eastAsia" w:ascii="仿宋" w:hAnsi="仿宋" w:eastAsia="仿宋" w:cs="宋体"/>
          <w:sz w:val="24"/>
        </w:rPr>
      </w:pPr>
      <w:r>
        <w:rPr>
          <w:rFonts w:hint="eastAsia" w:ascii="仿宋" w:hAnsi="仿宋" w:eastAsia="仿宋" w:cs="宋体"/>
          <w:sz w:val="24"/>
        </w:rPr>
        <w:t>在提供免费日常维护的基础上，中标人须每周至少开展一次系统巡检，主动排查隐患，保障系统长期稳定运行。</w:t>
      </w:r>
    </w:p>
    <w:p w14:paraId="1893BAEA">
      <w:pPr>
        <w:spacing w:line="360" w:lineRule="auto"/>
        <w:ind w:firstLine="480"/>
        <w:rPr>
          <w:rFonts w:hint="eastAsia" w:ascii="仿宋" w:hAnsi="仿宋" w:eastAsia="仿宋" w:cs="宋体"/>
          <w:sz w:val="24"/>
        </w:rPr>
      </w:pPr>
      <w:r>
        <w:rPr>
          <w:rFonts w:hint="eastAsia" w:ascii="仿宋" w:hAnsi="仿宋" w:eastAsia="仿宋" w:cs="宋体"/>
          <w:sz w:val="24"/>
        </w:rPr>
        <w:t xml:space="preserve">4、重大活动保障服务  </w:t>
      </w:r>
    </w:p>
    <w:p w14:paraId="2B2D847C">
      <w:pPr>
        <w:spacing w:line="360" w:lineRule="auto"/>
        <w:ind w:firstLine="480"/>
        <w:rPr>
          <w:rFonts w:hint="eastAsia" w:ascii="仿宋" w:hAnsi="仿宋" w:eastAsia="仿宋" w:cs="宋体"/>
          <w:sz w:val="24"/>
        </w:rPr>
      </w:pPr>
      <w:r>
        <w:rPr>
          <w:rFonts w:hint="eastAsia" w:ascii="仿宋" w:hAnsi="仿宋" w:eastAsia="仿宋" w:cs="宋体"/>
          <w:sz w:val="24"/>
        </w:rPr>
        <w:t>在维保期内遇有重大任务或重要活动时，中标人应提供专项保障服务，具体包括：</w:t>
      </w:r>
    </w:p>
    <w:p w14:paraId="65529441">
      <w:pPr>
        <w:spacing w:line="360" w:lineRule="auto"/>
        <w:ind w:firstLine="480"/>
        <w:rPr>
          <w:rFonts w:hint="eastAsia" w:ascii="仿宋" w:hAnsi="仿宋" w:eastAsia="仿宋" w:cs="宋体"/>
          <w:sz w:val="24"/>
        </w:rPr>
      </w:pPr>
      <w:r>
        <w:rPr>
          <w:rFonts w:hint="eastAsia" w:ascii="仿宋" w:hAnsi="仿宋" w:eastAsia="仿宋" w:cs="宋体"/>
          <w:sz w:val="24"/>
        </w:rPr>
        <w:t xml:space="preserve">活动前一日：抵达现场，对全部设备进行全面巡查，排除潜在故障，确保系统处于最佳运行状态；  </w:t>
      </w:r>
    </w:p>
    <w:p w14:paraId="552F693F">
      <w:pPr>
        <w:spacing w:line="360" w:lineRule="auto"/>
        <w:ind w:firstLine="480"/>
        <w:rPr>
          <w:rFonts w:hint="eastAsia" w:ascii="仿宋" w:hAnsi="仿宋" w:eastAsia="仿宋" w:cs="宋体"/>
          <w:sz w:val="24"/>
        </w:rPr>
      </w:pPr>
      <w:r>
        <w:rPr>
          <w:rFonts w:hint="eastAsia" w:ascii="仿宋" w:hAnsi="仿宋" w:eastAsia="仿宋" w:cs="宋体"/>
          <w:sz w:val="24"/>
        </w:rPr>
        <w:t xml:space="preserve">活动期间：  </w:t>
      </w:r>
    </w:p>
    <w:p w14:paraId="2136E5D7">
      <w:pPr>
        <w:spacing w:line="360" w:lineRule="auto"/>
        <w:ind w:firstLine="480"/>
        <w:rPr>
          <w:rFonts w:hint="eastAsia" w:ascii="仿宋" w:hAnsi="仿宋" w:eastAsia="仿宋" w:cs="宋体"/>
          <w:sz w:val="24"/>
        </w:rPr>
      </w:pPr>
      <w:r>
        <w:rPr>
          <w:rFonts w:hint="eastAsia" w:ascii="仿宋" w:hAnsi="仿宋" w:eastAsia="仿宋" w:cs="宋体"/>
          <w:sz w:val="24"/>
        </w:rPr>
        <w:t xml:space="preserve">每日提前30分钟（相对于活动开始时间）进行设备检修与隐患排查；  </w:t>
      </w:r>
    </w:p>
    <w:p w14:paraId="334034A3">
      <w:pPr>
        <w:spacing w:line="360" w:lineRule="auto"/>
        <w:ind w:firstLine="480"/>
        <w:rPr>
          <w:rFonts w:hint="eastAsia" w:ascii="仿宋" w:hAnsi="仿宋" w:eastAsia="仿宋" w:cs="宋体"/>
          <w:sz w:val="24"/>
        </w:rPr>
      </w:pPr>
      <w:r>
        <w:rPr>
          <w:rFonts w:hint="eastAsia" w:ascii="仿宋" w:hAnsi="仿宋" w:eastAsia="仿宋" w:cs="宋体"/>
          <w:sz w:val="24"/>
        </w:rPr>
        <w:t xml:space="preserve">活动结束后再次进行检修与状态确认；  </w:t>
      </w:r>
    </w:p>
    <w:p w14:paraId="3C1C18F6">
      <w:pPr>
        <w:spacing w:line="360" w:lineRule="auto"/>
        <w:ind w:firstLine="480"/>
        <w:rPr>
          <w:rFonts w:hint="eastAsia" w:ascii="仿宋" w:hAnsi="仿宋" w:eastAsia="仿宋" w:cs="宋体"/>
          <w:sz w:val="24"/>
        </w:rPr>
      </w:pPr>
      <w:r>
        <w:rPr>
          <w:rFonts w:hint="eastAsia" w:ascii="仿宋" w:hAnsi="仿宋" w:eastAsia="仿宋" w:cs="宋体"/>
          <w:sz w:val="24"/>
        </w:rPr>
        <w:t xml:space="preserve">每日记录屏幕及配套设备的运行状态；  </w:t>
      </w:r>
    </w:p>
    <w:p w14:paraId="35579391">
      <w:pPr>
        <w:spacing w:line="360" w:lineRule="auto"/>
        <w:ind w:firstLine="480"/>
        <w:rPr>
          <w:rFonts w:hint="eastAsia" w:ascii="仿宋" w:hAnsi="仿宋" w:eastAsia="仿宋" w:cs="宋体"/>
          <w:sz w:val="24"/>
        </w:rPr>
      </w:pPr>
      <w:r>
        <w:rPr>
          <w:rFonts w:hint="eastAsia" w:ascii="仿宋" w:hAnsi="仿宋" w:eastAsia="仿宋" w:cs="宋体"/>
          <w:sz w:val="24"/>
        </w:rPr>
        <w:t>对存在隐患的材料或器件，在及时完成更换或维修；</w:t>
      </w:r>
    </w:p>
    <w:p w14:paraId="0F049B3F">
      <w:pPr>
        <w:spacing w:line="360" w:lineRule="auto"/>
        <w:ind w:firstLine="480"/>
        <w:rPr>
          <w:rFonts w:hint="eastAsia" w:ascii="仿宋" w:hAnsi="仿宋" w:eastAsia="仿宋" w:cs="宋体"/>
          <w:sz w:val="24"/>
        </w:rPr>
      </w:pPr>
      <w:r>
        <w:rPr>
          <w:rFonts w:hint="eastAsia" w:ascii="仿宋" w:hAnsi="仿宋" w:eastAsia="仿宋" w:cs="宋体"/>
          <w:sz w:val="24"/>
        </w:rPr>
        <w:t>注：在维保期内免费提供不超过三次的现场重大活动保障服务。</w:t>
      </w:r>
    </w:p>
    <w:p w14:paraId="22348F11">
      <w:pPr>
        <w:spacing w:line="360" w:lineRule="auto"/>
        <w:ind w:firstLine="480"/>
        <w:rPr>
          <w:rFonts w:hint="eastAsia" w:ascii="仿宋" w:hAnsi="仿宋" w:eastAsia="仿宋" w:cs="宋体"/>
          <w:sz w:val="24"/>
        </w:rPr>
      </w:pPr>
      <w:r>
        <w:rPr>
          <w:rFonts w:hint="eastAsia" w:ascii="仿宋" w:hAnsi="仿宋" w:eastAsia="仿宋" w:cs="宋体"/>
          <w:sz w:val="24"/>
        </w:rPr>
        <w:t xml:space="preserve">5、备品备件保障  </w:t>
      </w:r>
    </w:p>
    <w:p w14:paraId="6ABB08E7">
      <w:pPr>
        <w:spacing w:line="360" w:lineRule="auto"/>
        <w:ind w:firstLine="480"/>
        <w:rPr>
          <w:rFonts w:hint="eastAsia" w:ascii="仿宋" w:hAnsi="仿宋" w:eastAsia="仿宋" w:cs="宋体"/>
          <w:sz w:val="24"/>
        </w:rPr>
      </w:pPr>
      <w:r>
        <w:rPr>
          <w:rFonts w:hint="eastAsia" w:ascii="仿宋" w:hAnsi="仿宋" w:eastAsia="仿宋" w:cs="宋体"/>
          <w:sz w:val="24"/>
        </w:rPr>
        <w:t>中标人应自行建立备品备件库，常备充足、匹配的备品备件，确保在突发故障时能够快速响应并有效恢复系统功能。</w:t>
      </w:r>
    </w:p>
    <w:p w14:paraId="2C1DCDB0">
      <w:pPr>
        <w:spacing w:line="360" w:lineRule="auto"/>
        <w:ind w:firstLine="480"/>
        <w:rPr>
          <w:rFonts w:hint="eastAsia" w:ascii="仿宋" w:hAnsi="仿宋" w:eastAsia="仿宋" w:cs="宋体"/>
          <w:sz w:val="24"/>
        </w:rPr>
      </w:pPr>
      <w:r>
        <w:rPr>
          <w:rFonts w:hint="eastAsia" w:ascii="仿宋" w:hAnsi="仿宋" w:eastAsia="仿宋" w:cs="宋体"/>
          <w:sz w:val="24"/>
        </w:rPr>
        <w:t xml:space="preserve">6、技术支持与增值服务  </w:t>
      </w:r>
    </w:p>
    <w:p w14:paraId="648D4386">
      <w:pPr>
        <w:spacing w:line="360" w:lineRule="auto"/>
        <w:ind w:firstLine="480"/>
        <w:rPr>
          <w:rFonts w:hint="eastAsia" w:ascii="仿宋" w:hAnsi="仿宋" w:eastAsia="仿宋" w:cs="宋体"/>
          <w:sz w:val="24"/>
        </w:rPr>
      </w:pPr>
      <w:r>
        <w:rPr>
          <w:rFonts w:hint="eastAsia" w:ascii="仿宋" w:hAnsi="仿宋" w:eastAsia="仿宋" w:cs="宋体"/>
          <w:sz w:val="24"/>
        </w:rPr>
        <w:t>中标人提供以下技术支撑与咨询服务：系统集成相关的技术咨询与定制化解决方案；集群系统维护，包括可用性分析、集群软件兼容性验证，以及故障转移机制的功能测试；系统升级、扩容等技术方案的可行性咨询；</w:t>
      </w:r>
    </w:p>
    <w:p w14:paraId="78097A5B">
      <w:pPr>
        <w:spacing w:line="360" w:lineRule="auto"/>
        <w:ind w:firstLine="480"/>
        <w:rPr>
          <w:rFonts w:hint="eastAsia" w:ascii="仿宋" w:hAnsi="仿宋" w:eastAsia="仿宋" w:cs="宋体"/>
          <w:sz w:val="24"/>
        </w:rPr>
      </w:pPr>
      <w:r>
        <w:rPr>
          <w:rFonts w:hint="eastAsia" w:ascii="仿宋" w:hAnsi="仿宋" w:eastAsia="仿宋" w:cs="宋体"/>
          <w:sz w:val="24"/>
        </w:rPr>
        <w:t>免费提供移机服务，移机完成后原维保合同继续有效；</w:t>
      </w:r>
    </w:p>
    <w:p w14:paraId="50A685EF">
      <w:pPr>
        <w:spacing w:line="360" w:lineRule="auto"/>
        <w:ind w:firstLine="480"/>
        <w:rPr>
          <w:rFonts w:hint="eastAsia" w:ascii="仿宋" w:hAnsi="仿宋" w:eastAsia="仿宋" w:cs="宋体"/>
          <w:sz w:val="24"/>
        </w:rPr>
      </w:pPr>
      <w:r>
        <w:rPr>
          <w:rFonts w:hint="eastAsia" w:ascii="仿宋" w:hAnsi="仿宋" w:eastAsia="仿宋" w:cs="宋体"/>
          <w:sz w:val="24"/>
        </w:rPr>
        <w:t xml:space="preserve">按月度、季度向客户提供硬件维护报告，内容涵盖系统运行状态、故障处理情况及维护建议；  </w:t>
      </w:r>
    </w:p>
    <w:p w14:paraId="72142535">
      <w:pPr>
        <w:spacing w:line="360" w:lineRule="auto"/>
        <w:ind w:firstLine="480"/>
        <w:rPr>
          <w:rFonts w:hint="eastAsia" w:ascii="仿宋" w:hAnsi="仿宋" w:eastAsia="仿宋" w:cs="宋体"/>
          <w:sz w:val="24"/>
        </w:rPr>
      </w:pPr>
      <w:r>
        <w:rPr>
          <w:rFonts w:hint="eastAsia" w:ascii="仿宋" w:hAnsi="仿宋" w:eastAsia="仿宋" w:cs="宋体"/>
          <w:sz w:val="24"/>
        </w:rPr>
        <w:t>在客户设备档案中完整记录所有配置变更、连接调整、软硬件升级等操作信息，确保系统可追溯、可管理。</w:t>
      </w:r>
    </w:p>
    <w:p w14:paraId="246F1EAD">
      <w:pPr>
        <w:pStyle w:val="4"/>
        <w:spacing w:before="156" w:after="156"/>
        <w:rPr>
          <w:rFonts w:hint="eastAsia" w:ascii="仿宋" w:hAnsi="仿宋" w:eastAsia="仿宋" w:cs="宋体"/>
          <w:szCs w:val="24"/>
        </w:rPr>
      </w:pPr>
      <w:bookmarkStart w:id="1" w:name="_Toc190266937"/>
      <w:r>
        <w:rPr>
          <w:rFonts w:hint="eastAsia" w:ascii="仿宋" w:hAnsi="仿宋" w:eastAsia="仿宋" w:cs="宋体"/>
          <w:szCs w:val="24"/>
        </w:rPr>
        <w:t>应用类系统运维服务</w:t>
      </w:r>
      <w:bookmarkEnd w:id="1"/>
    </w:p>
    <w:p w14:paraId="4B6CEA2C">
      <w:pPr>
        <w:spacing w:line="360" w:lineRule="auto"/>
        <w:ind w:firstLine="480"/>
        <w:rPr>
          <w:rFonts w:hint="eastAsia" w:ascii="仿宋" w:hAnsi="仿宋" w:eastAsia="仿宋" w:cs="宋体"/>
          <w:sz w:val="24"/>
        </w:rPr>
      </w:pPr>
      <w:r>
        <w:rPr>
          <w:rFonts w:hint="eastAsia" w:ascii="仿宋" w:hAnsi="仿宋" w:eastAsia="仿宋" w:cs="宋体"/>
          <w:sz w:val="24"/>
        </w:rPr>
        <w:t>本项目为</w:t>
      </w:r>
      <w:r>
        <w:rPr>
          <w:rFonts w:hint="eastAsia" w:ascii="仿宋" w:hAnsi="仿宋" w:eastAsia="仿宋"/>
          <w:sz w:val="24"/>
        </w:rPr>
        <w:t>市政府智慧大院预约报账管理系统、广州市政府值班值守系统和广东省预算单位财务管理系统广州市分级系统等3套政务信息系统提供运维服务。</w:t>
      </w:r>
    </w:p>
    <w:p w14:paraId="67A12B6E">
      <w:pPr>
        <w:pStyle w:val="5"/>
        <w:spacing w:line="360" w:lineRule="auto"/>
        <w:rPr>
          <w:rFonts w:hint="eastAsia" w:ascii="仿宋" w:hAnsi="仿宋" w:eastAsia="仿宋" w:cs="宋体"/>
          <w:sz w:val="24"/>
          <w:szCs w:val="24"/>
        </w:rPr>
      </w:pPr>
      <w:bookmarkStart w:id="2" w:name="_Toc134983039"/>
      <w:bookmarkEnd w:id="2"/>
      <w:bookmarkStart w:id="3" w:name="_Toc134983035"/>
      <w:bookmarkEnd w:id="3"/>
      <w:bookmarkStart w:id="4" w:name="_Toc134983033"/>
      <w:bookmarkEnd w:id="4"/>
      <w:bookmarkStart w:id="5" w:name="_Toc134983041"/>
      <w:bookmarkEnd w:id="5"/>
      <w:bookmarkStart w:id="6" w:name="_Toc134983049"/>
      <w:bookmarkEnd w:id="6"/>
      <w:bookmarkStart w:id="7" w:name="_Toc134983030"/>
      <w:bookmarkEnd w:id="7"/>
      <w:bookmarkStart w:id="8" w:name="_Toc134983047"/>
      <w:bookmarkEnd w:id="8"/>
      <w:bookmarkStart w:id="9" w:name="_Toc134983045"/>
      <w:bookmarkEnd w:id="9"/>
      <w:bookmarkStart w:id="10" w:name="_Toc134983037"/>
      <w:bookmarkEnd w:id="10"/>
      <w:bookmarkStart w:id="11" w:name="_Toc134983032"/>
      <w:bookmarkEnd w:id="11"/>
      <w:bookmarkStart w:id="12" w:name="_Toc134983034"/>
      <w:bookmarkEnd w:id="12"/>
      <w:bookmarkStart w:id="13" w:name="_Toc134983050"/>
      <w:bookmarkEnd w:id="13"/>
      <w:bookmarkStart w:id="14" w:name="_Toc134983046"/>
      <w:bookmarkEnd w:id="14"/>
      <w:bookmarkStart w:id="15" w:name="_Toc134983048"/>
      <w:bookmarkEnd w:id="15"/>
      <w:bookmarkStart w:id="16" w:name="_Toc134983051"/>
      <w:bookmarkEnd w:id="16"/>
      <w:bookmarkStart w:id="17" w:name="_Toc134983031"/>
      <w:bookmarkEnd w:id="17"/>
      <w:bookmarkStart w:id="18" w:name="_Toc134983042"/>
      <w:bookmarkEnd w:id="18"/>
      <w:bookmarkStart w:id="19" w:name="_Toc134983044"/>
      <w:bookmarkEnd w:id="19"/>
      <w:bookmarkStart w:id="20" w:name="_Toc134983038"/>
      <w:bookmarkEnd w:id="20"/>
      <w:bookmarkStart w:id="21" w:name="_Toc134983043"/>
      <w:bookmarkEnd w:id="21"/>
      <w:bookmarkStart w:id="22" w:name="_Toc134983036"/>
      <w:bookmarkEnd w:id="22"/>
      <w:bookmarkStart w:id="23" w:name="_Toc134983029"/>
      <w:bookmarkEnd w:id="23"/>
      <w:bookmarkStart w:id="24" w:name="_Toc134983040"/>
      <w:bookmarkEnd w:id="24"/>
      <w:r>
        <w:rPr>
          <w:rFonts w:hint="eastAsia" w:ascii="仿宋" w:hAnsi="仿宋" w:eastAsia="仿宋" w:cs="宋体"/>
          <w:sz w:val="24"/>
          <w:szCs w:val="24"/>
        </w:rPr>
        <w:t>应用类系统运行情况</w:t>
      </w:r>
    </w:p>
    <w:p w14:paraId="352A2EED">
      <w:pPr>
        <w:pStyle w:val="6"/>
        <w:rPr>
          <w:rFonts w:hint="eastAsia" w:ascii="仿宋" w:hAnsi="仿宋" w:eastAsia="仿宋" w:cs="宋体"/>
          <w:sz w:val="24"/>
        </w:rPr>
      </w:pPr>
      <w:r>
        <w:rPr>
          <w:rFonts w:hint="eastAsia" w:ascii="仿宋" w:hAnsi="仿宋" w:eastAsia="仿宋" w:cs="宋体"/>
          <w:sz w:val="24"/>
        </w:rPr>
        <w:t>市政府智慧大院预约报账管理系统</w:t>
      </w:r>
    </w:p>
    <w:p w14:paraId="3E6C293A">
      <w:pPr>
        <w:spacing w:line="360" w:lineRule="auto"/>
        <w:ind w:firstLine="480"/>
        <w:rPr>
          <w:rFonts w:hint="eastAsia" w:ascii="仿宋" w:hAnsi="仿宋" w:eastAsia="仿宋" w:cs="宋体"/>
          <w:sz w:val="24"/>
        </w:rPr>
      </w:pPr>
      <w:r>
        <w:rPr>
          <w:rFonts w:hint="eastAsia" w:ascii="仿宋" w:hAnsi="仿宋" w:eastAsia="仿宋" w:cs="宋体"/>
          <w:sz w:val="24"/>
        </w:rPr>
        <w:t>市政府智慧大院预约报账管理系统2025年1月至6月，报账预约 512条、办公厅审批表 56份、各单位审批表1260份、请款单17份、额度调整表22份、档案查询表28份。系统总体运行稳定、日常协助用户在操作上以及流程流转的维护等，目前满足用户使用要求。</w:t>
      </w:r>
    </w:p>
    <w:tbl>
      <w:tblPr>
        <w:tblStyle w:val="10"/>
        <w:tblW w:w="512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991"/>
        <w:gridCol w:w="2393"/>
      </w:tblGrid>
      <w:tr w14:paraId="2165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63C101C8">
            <w:pPr>
              <w:pStyle w:val="9"/>
              <w:ind w:left="922" w:hanging="498"/>
              <w:rPr>
                <w:rFonts w:hint="eastAsia" w:ascii="仿宋" w:hAnsi="仿宋" w:eastAsia="仿宋"/>
              </w:rPr>
            </w:pPr>
            <w:r>
              <w:rPr>
                <w:rFonts w:hint="eastAsia" w:ascii="仿宋" w:hAnsi="仿宋" w:eastAsia="仿宋"/>
              </w:rPr>
              <w:t>序号</w:t>
            </w:r>
          </w:p>
        </w:tc>
        <w:tc>
          <w:tcPr>
            <w:tcW w:w="2985" w:type="pct"/>
            <w:vAlign w:val="center"/>
          </w:tcPr>
          <w:p w14:paraId="52B3808C">
            <w:pPr>
              <w:pStyle w:val="9"/>
              <w:ind w:left="922" w:hanging="498"/>
              <w:rPr>
                <w:rFonts w:hint="eastAsia" w:ascii="仿宋" w:hAnsi="仿宋" w:eastAsia="仿宋"/>
              </w:rPr>
            </w:pPr>
            <w:r>
              <w:rPr>
                <w:rFonts w:hint="eastAsia" w:ascii="仿宋" w:hAnsi="仿宋" w:eastAsia="仿宋"/>
              </w:rPr>
              <w:t>指标名称</w:t>
            </w:r>
          </w:p>
        </w:tc>
        <w:tc>
          <w:tcPr>
            <w:tcW w:w="1497" w:type="pct"/>
            <w:vAlign w:val="center"/>
          </w:tcPr>
          <w:p w14:paraId="4A584A8D">
            <w:pPr>
              <w:pStyle w:val="9"/>
              <w:ind w:left="922" w:hanging="498"/>
              <w:rPr>
                <w:rFonts w:hint="eastAsia" w:ascii="仿宋" w:hAnsi="仿宋" w:eastAsia="仿宋"/>
              </w:rPr>
            </w:pPr>
            <w:r>
              <w:rPr>
                <w:rFonts w:hint="eastAsia" w:ascii="仿宋" w:hAnsi="仿宋" w:eastAsia="仿宋"/>
              </w:rPr>
              <w:t>运行情况</w:t>
            </w:r>
          </w:p>
        </w:tc>
      </w:tr>
      <w:tr w14:paraId="31A6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072F9996">
            <w:pPr>
              <w:pStyle w:val="9"/>
              <w:ind w:left="922" w:hanging="498"/>
              <w:rPr>
                <w:rFonts w:hint="eastAsia" w:ascii="仿宋" w:hAnsi="仿宋" w:eastAsia="仿宋"/>
              </w:rPr>
            </w:pPr>
            <w:r>
              <w:rPr>
                <w:rFonts w:hint="eastAsia" w:ascii="仿宋" w:hAnsi="仿宋" w:eastAsia="仿宋"/>
              </w:rPr>
              <w:t>1</w:t>
            </w:r>
          </w:p>
        </w:tc>
        <w:tc>
          <w:tcPr>
            <w:tcW w:w="2985" w:type="pct"/>
            <w:vAlign w:val="center"/>
          </w:tcPr>
          <w:p w14:paraId="049B3242">
            <w:pPr>
              <w:pStyle w:val="9"/>
              <w:ind w:left="922" w:hanging="498"/>
              <w:rPr>
                <w:rFonts w:hint="eastAsia" w:ascii="仿宋" w:hAnsi="仿宋" w:eastAsia="仿宋"/>
              </w:rPr>
            </w:pPr>
            <w:r>
              <w:rPr>
                <w:rFonts w:hint="eastAsia" w:ascii="仿宋" w:hAnsi="仿宋" w:eastAsia="仿宋"/>
              </w:rPr>
              <w:t>年度业务量（件）</w:t>
            </w:r>
          </w:p>
        </w:tc>
        <w:tc>
          <w:tcPr>
            <w:tcW w:w="1497" w:type="pct"/>
            <w:vAlign w:val="center"/>
          </w:tcPr>
          <w:p w14:paraId="57D20FEA">
            <w:pPr>
              <w:pStyle w:val="9"/>
              <w:ind w:left="922" w:hanging="498"/>
              <w:rPr>
                <w:rFonts w:hint="eastAsia" w:ascii="仿宋" w:hAnsi="仿宋" w:eastAsia="仿宋"/>
              </w:rPr>
            </w:pPr>
            <w:r>
              <w:rPr>
                <w:rFonts w:ascii="仿宋" w:hAnsi="仿宋" w:eastAsia="仿宋"/>
              </w:rPr>
              <w:t>2</w:t>
            </w:r>
            <w:r>
              <w:rPr>
                <w:rFonts w:hint="eastAsia" w:ascii="仿宋" w:hAnsi="仿宋" w:eastAsia="仿宋"/>
              </w:rPr>
              <w:t>000-</w:t>
            </w:r>
            <w:r>
              <w:rPr>
                <w:rFonts w:ascii="仿宋" w:hAnsi="仿宋" w:eastAsia="仿宋"/>
              </w:rPr>
              <w:t>4</w:t>
            </w:r>
            <w:r>
              <w:rPr>
                <w:rFonts w:hint="eastAsia" w:ascii="仿宋" w:hAnsi="仿宋" w:eastAsia="仿宋"/>
              </w:rPr>
              <w:t>000</w:t>
            </w:r>
          </w:p>
        </w:tc>
      </w:tr>
      <w:tr w14:paraId="54EC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550A3D8D">
            <w:pPr>
              <w:pStyle w:val="9"/>
              <w:ind w:left="922" w:hanging="498"/>
              <w:rPr>
                <w:rFonts w:hint="eastAsia" w:ascii="仿宋" w:hAnsi="仿宋" w:eastAsia="仿宋"/>
              </w:rPr>
            </w:pPr>
            <w:r>
              <w:rPr>
                <w:rFonts w:hint="eastAsia" w:ascii="仿宋" w:hAnsi="仿宋" w:eastAsia="仿宋"/>
              </w:rPr>
              <w:t>2</w:t>
            </w:r>
          </w:p>
        </w:tc>
        <w:tc>
          <w:tcPr>
            <w:tcW w:w="2985" w:type="pct"/>
            <w:vAlign w:val="center"/>
          </w:tcPr>
          <w:p w14:paraId="47B93D15">
            <w:pPr>
              <w:pStyle w:val="9"/>
              <w:ind w:left="922" w:hanging="498"/>
              <w:rPr>
                <w:rFonts w:hint="eastAsia" w:ascii="仿宋" w:hAnsi="仿宋" w:eastAsia="仿宋"/>
              </w:rPr>
            </w:pPr>
            <w:r>
              <w:rPr>
                <w:rFonts w:hint="eastAsia" w:ascii="仿宋" w:hAnsi="仿宋" w:eastAsia="仿宋"/>
              </w:rPr>
              <w:t>年度新增数据量（条）</w:t>
            </w:r>
          </w:p>
        </w:tc>
        <w:tc>
          <w:tcPr>
            <w:tcW w:w="1497" w:type="pct"/>
            <w:vAlign w:val="center"/>
          </w:tcPr>
          <w:p w14:paraId="2312A7DD">
            <w:pPr>
              <w:pStyle w:val="9"/>
              <w:ind w:left="922" w:hanging="498"/>
              <w:rPr>
                <w:rFonts w:hint="eastAsia" w:ascii="仿宋" w:hAnsi="仿宋" w:eastAsia="仿宋"/>
              </w:rPr>
            </w:pPr>
            <w:r>
              <w:rPr>
                <w:rFonts w:hint="eastAsia" w:ascii="仿宋" w:hAnsi="仿宋" w:eastAsia="仿宋"/>
              </w:rPr>
              <w:t>12000-16000</w:t>
            </w:r>
          </w:p>
        </w:tc>
      </w:tr>
      <w:tr w14:paraId="6F4A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0FCA1C2C">
            <w:pPr>
              <w:pStyle w:val="9"/>
              <w:ind w:left="922" w:hanging="498"/>
              <w:rPr>
                <w:rFonts w:hint="eastAsia" w:ascii="仿宋" w:hAnsi="仿宋" w:eastAsia="仿宋"/>
              </w:rPr>
            </w:pPr>
            <w:r>
              <w:rPr>
                <w:rFonts w:hint="eastAsia" w:ascii="仿宋" w:hAnsi="仿宋" w:eastAsia="仿宋"/>
              </w:rPr>
              <w:t>3</w:t>
            </w:r>
          </w:p>
        </w:tc>
        <w:tc>
          <w:tcPr>
            <w:tcW w:w="2985" w:type="pct"/>
            <w:vAlign w:val="center"/>
          </w:tcPr>
          <w:p w14:paraId="5B61D67C">
            <w:pPr>
              <w:pStyle w:val="9"/>
              <w:ind w:left="922" w:hanging="498"/>
              <w:rPr>
                <w:rFonts w:hint="eastAsia" w:ascii="仿宋" w:hAnsi="仿宋" w:eastAsia="仿宋"/>
              </w:rPr>
            </w:pPr>
            <w:r>
              <w:rPr>
                <w:rFonts w:hint="eastAsia" w:ascii="仿宋" w:hAnsi="仿宋" w:eastAsia="仿宋"/>
              </w:rPr>
              <w:t>活跃用户数（个）</w:t>
            </w:r>
          </w:p>
        </w:tc>
        <w:tc>
          <w:tcPr>
            <w:tcW w:w="1497" w:type="pct"/>
            <w:vAlign w:val="center"/>
          </w:tcPr>
          <w:p w14:paraId="62A980C1">
            <w:pPr>
              <w:pStyle w:val="9"/>
              <w:ind w:left="922" w:hanging="498"/>
              <w:rPr>
                <w:rFonts w:hint="eastAsia" w:ascii="仿宋" w:hAnsi="仿宋" w:eastAsia="仿宋"/>
              </w:rPr>
            </w:pPr>
            <w:r>
              <w:rPr>
                <w:rFonts w:hint="eastAsia" w:ascii="仿宋" w:hAnsi="仿宋" w:eastAsia="仿宋"/>
              </w:rPr>
              <w:t>323</w:t>
            </w:r>
          </w:p>
        </w:tc>
      </w:tr>
      <w:tr w14:paraId="6679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032A766E">
            <w:pPr>
              <w:pStyle w:val="9"/>
              <w:ind w:left="922" w:hanging="498"/>
              <w:rPr>
                <w:rFonts w:hint="eastAsia" w:ascii="仿宋" w:hAnsi="仿宋" w:eastAsia="仿宋"/>
              </w:rPr>
            </w:pPr>
            <w:r>
              <w:rPr>
                <w:rFonts w:hint="eastAsia" w:ascii="仿宋" w:hAnsi="仿宋" w:eastAsia="仿宋"/>
              </w:rPr>
              <w:t>4</w:t>
            </w:r>
          </w:p>
        </w:tc>
        <w:tc>
          <w:tcPr>
            <w:tcW w:w="2985" w:type="pct"/>
            <w:vAlign w:val="center"/>
          </w:tcPr>
          <w:p w14:paraId="70A8EE0D">
            <w:pPr>
              <w:pStyle w:val="9"/>
              <w:ind w:left="922" w:hanging="498"/>
              <w:rPr>
                <w:rFonts w:hint="eastAsia" w:ascii="仿宋" w:hAnsi="仿宋" w:eastAsia="仿宋"/>
              </w:rPr>
            </w:pPr>
            <w:r>
              <w:rPr>
                <w:rFonts w:hint="eastAsia" w:ascii="仿宋" w:hAnsi="仿宋" w:eastAsia="仿宋"/>
              </w:rPr>
              <w:t>正常运行率（%）</w:t>
            </w:r>
          </w:p>
        </w:tc>
        <w:tc>
          <w:tcPr>
            <w:tcW w:w="1497" w:type="pct"/>
            <w:vAlign w:val="center"/>
          </w:tcPr>
          <w:p w14:paraId="5CFB3414">
            <w:pPr>
              <w:pStyle w:val="9"/>
              <w:ind w:left="922" w:hanging="498"/>
              <w:rPr>
                <w:rFonts w:hint="eastAsia" w:ascii="仿宋" w:hAnsi="仿宋" w:eastAsia="仿宋"/>
              </w:rPr>
            </w:pPr>
            <w:r>
              <w:rPr>
                <w:rFonts w:hint="eastAsia" w:ascii="仿宋" w:hAnsi="仿宋" w:eastAsia="仿宋"/>
              </w:rPr>
              <w:t>100%</w:t>
            </w:r>
          </w:p>
        </w:tc>
      </w:tr>
      <w:tr w14:paraId="2113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65176314">
            <w:pPr>
              <w:pStyle w:val="9"/>
              <w:ind w:left="922" w:hanging="498"/>
              <w:rPr>
                <w:rFonts w:hint="eastAsia" w:ascii="仿宋" w:hAnsi="仿宋" w:eastAsia="仿宋"/>
              </w:rPr>
            </w:pPr>
            <w:r>
              <w:rPr>
                <w:rFonts w:hint="eastAsia" w:ascii="仿宋" w:hAnsi="仿宋" w:eastAsia="仿宋"/>
              </w:rPr>
              <w:t>5</w:t>
            </w:r>
          </w:p>
        </w:tc>
        <w:tc>
          <w:tcPr>
            <w:tcW w:w="2985" w:type="pct"/>
            <w:vAlign w:val="center"/>
          </w:tcPr>
          <w:p w14:paraId="1A138D07">
            <w:pPr>
              <w:pStyle w:val="9"/>
              <w:ind w:left="922" w:hanging="498"/>
              <w:rPr>
                <w:rFonts w:hint="eastAsia" w:ascii="仿宋" w:hAnsi="仿宋" w:eastAsia="仿宋"/>
              </w:rPr>
            </w:pPr>
            <w:r>
              <w:rPr>
                <w:rFonts w:hint="eastAsia" w:ascii="仿宋" w:hAnsi="仿宋" w:eastAsia="仿宋"/>
              </w:rPr>
              <w:t>故障及时响应率（%）</w:t>
            </w:r>
          </w:p>
        </w:tc>
        <w:tc>
          <w:tcPr>
            <w:tcW w:w="1497" w:type="pct"/>
            <w:vAlign w:val="center"/>
          </w:tcPr>
          <w:p w14:paraId="7730DDAE">
            <w:pPr>
              <w:pStyle w:val="9"/>
              <w:ind w:left="922" w:hanging="498"/>
              <w:rPr>
                <w:rFonts w:hint="eastAsia" w:ascii="仿宋" w:hAnsi="仿宋" w:eastAsia="仿宋"/>
              </w:rPr>
            </w:pPr>
            <w:r>
              <w:rPr>
                <w:rFonts w:hint="eastAsia" w:ascii="仿宋" w:hAnsi="仿宋" w:eastAsia="仿宋"/>
              </w:rPr>
              <w:t>90%</w:t>
            </w:r>
          </w:p>
        </w:tc>
      </w:tr>
      <w:tr w14:paraId="3DAA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15A62159">
            <w:pPr>
              <w:pStyle w:val="9"/>
              <w:ind w:left="922" w:hanging="498"/>
              <w:rPr>
                <w:rFonts w:hint="eastAsia" w:ascii="仿宋" w:hAnsi="仿宋" w:eastAsia="仿宋"/>
              </w:rPr>
            </w:pPr>
            <w:r>
              <w:rPr>
                <w:rFonts w:hint="eastAsia" w:ascii="仿宋" w:hAnsi="仿宋" w:eastAsia="仿宋"/>
              </w:rPr>
              <w:t>6</w:t>
            </w:r>
          </w:p>
        </w:tc>
        <w:tc>
          <w:tcPr>
            <w:tcW w:w="2985" w:type="pct"/>
            <w:vAlign w:val="center"/>
          </w:tcPr>
          <w:p w14:paraId="025F2D36">
            <w:pPr>
              <w:pStyle w:val="9"/>
              <w:ind w:left="922" w:hanging="498"/>
              <w:rPr>
                <w:rFonts w:hint="eastAsia" w:ascii="仿宋" w:hAnsi="仿宋" w:eastAsia="仿宋"/>
              </w:rPr>
            </w:pPr>
            <w:r>
              <w:rPr>
                <w:rFonts w:hint="eastAsia" w:ascii="仿宋" w:hAnsi="仿宋" w:eastAsia="仿宋"/>
              </w:rPr>
              <w:t>是否部署在政务云</w:t>
            </w:r>
          </w:p>
        </w:tc>
        <w:tc>
          <w:tcPr>
            <w:tcW w:w="1497" w:type="pct"/>
            <w:vAlign w:val="center"/>
          </w:tcPr>
          <w:p w14:paraId="6FA07E2D">
            <w:pPr>
              <w:pStyle w:val="9"/>
              <w:ind w:left="922" w:hanging="498"/>
              <w:rPr>
                <w:rFonts w:hint="eastAsia" w:ascii="仿宋" w:hAnsi="仿宋" w:eastAsia="仿宋"/>
              </w:rPr>
            </w:pPr>
            <w:r>
              <w:rPr>
                <w:rFonts w:hint="eastAsia" w:ascii="仿宋" w:hAnsi="仿宋" w:eastAsia="仿宋"/>
              </w:rPr>
              <w:t>是</w:t>
            </w:r>
          </w:p>
        </w:tc>
      </w:tr>
      <w:tr w14:paraId="4D45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 w:type="pct"/>
            <w:vAlign w:val="center"/>
          </w:tcPr>
          <w:p w14:paraId="3C96A931">
            <w:pPr>
              <w:pStyle w:val="9"/>
              <w:ind w:left="922" w:hanging="498"/>
              <w:rPr>
                <w:rFonts w:hint="eastAsia" w:ascii="仿宋" w:hAnsi="仿宋" w:eastAsia="仿宋"/>
              </w:rPr>
            </w:pPr>
            <w:r>
              <w:rPr>
                <w:rFonts w:hint="eastAsia" w:ascii="仿宋" w:hAnsi="仿宋" w:eastAsia="仿宋"/>
              </w:rPr>
              <w:t>7</w:t>
            </w:r>
          </w:p>
        </w:tc>
        <w:tc>
          <w:tcPr>
            <w:tcW w:w="2985" w:type="pct"/>
            <w:vAlign w:val="center"/>
          </w:tcPr>
          <w:p w14:paraId="367FD0A5">
            <w:pPr>
              <w:pStyle w:val="9"/>
              <w:ind w:left="922" w:hanging="498"/>
              <w:rPr>
                <w:rFonts w:hint="eastAsia" w:ascii="仿宋" w:hAnsi="仿宋" w:eastAsia="仿宋"/>
              </w:rPr>
            </w:pPr>
            <w:r>
              <w:rPr>
                <w:rFonts w:hint="eastAsia" w:ascii="仿宋" w:hAnsi="仿宋" w:eastAsia="仿宋"/>
              </w:rPr>
              <w:t>软件首次投入运行时入库资产金额（万元）</w:t>
            </w:r>
          </w:p>
        </w:tc>
        <w:tc>
          <w:tcPr>
            <w:tcW w:w="1497" w:type="pct"/>
            <w:vAlign w:val="center"/>
          </w:tcPr>
          <w:p w14:paraId="520104D6">
            <w:pPr>
              <w:pStyle w:val="9"/>
              <w:ind w:left="922" w:hanging="498"/>
              <w:rPr>
                <w:rFonts w:hint="eastAsia" w:ascii="仿宋" w:hAnsi="仿宋" w:eastAsia="仿宋"/>
              </w:rPr>
            </w:pPr>
            <w:r>
              <w:rPr>
                <w:rFonts w:hint="eastAsia" w:ascii="仿宋" w:hAnsi="仿宋" w:eastAsia="仿宋"/>
              </w:rPr>
              <w:t>28</w:t>
            </w:r>
          </w:p>
        </w:tc>
      </w:tr>
    </w:tbl>
    <w:p w14:paraId="516BF7EA">
      <w:pPr>
        <w:spacing w:line="360" w:lineRule="auto"/>
        <w:ind w:firstLine="480"/>
        <w:rPr>
          <w:rFonts w:hint="eastAsia" w:ascii="仿宋" w:hAnsi="仿宋" w:eastAsia="仿宋" w:cs="宋体"/>
          <w:sz w:val="24"/>
        </w:rPr>
      </w:pPr>
    </w:p>
    <w:p w14:paraId="723BBAD7">
      <w:pPr>
        <w:pStyle w:val="6"/>
        <w:rPr>
          <w:rFonts w:hint="eastAsia" w:ascii="仿宋" w:hAnsi="仿宋" w:eastAsia="仿宋" w:cs="宋体"/>
          <w:sz w:val="24"/>
        </w:rPr>
      </w:pPr>
      <w:bookmarkStart w:id="25" w:name="_Toc190266939"/>
      <w:r>
        <w:rPr>
          <w:rFonts w:hint="eastAsia" w:ascii="仿宋" w:hAnsi="仿宋" w:eastAsia="仿宋" w:cs="宋体"/>
          <w:sz w:val="24"/>
        </w:rPr>
        <w:t>广州市政府值班值守系统</w:t>
      </w:r>
      <w:bookmarkEnd w:id="25"/>
    </w:p>
    <w:p w14:paraId="75F6C5CA">
      <w:pPr>
        <w:spacing w:line="360" w:lineRule="auto"/>
        <w:ind w:firstLine="480"/>
        <w:rPr>
          <w:rFonts w:hint="eastAsia" w:ascii="仿宋" w:hAnsi="仿宋" w:eastAsia="仿宋" w:cs="宋体"/>
          <w:sz w:val="24"/>
        </w:rPr>
      </w:pPr>
      <w:r>
        <w:rPr>
          <w:rFonts w:ascii="仿宋" w:hAnsi="仿宋" w:eastAsia="仿宋" w:cs="宋体"/>
          <w:sz w:val="24"/>
        </w:rPr>
        <w:t>广州市政府值班值守系统运维，包含值班值守系统、</w:t>
      </w:r>
      <w:r>
        <w:rPr>
          <w:rFonts w:hint="eastAsia" w:ascii="仿宋" w:hAnsi="仿宋" w:eastAsia="仿宋" w:cs="宋体"/>
          <w:sz w:val="24"/>
        </w:rPr>
        <w:t>政务知识赋能系统、福昕鲲鹏OCR识别服务系统等系统的运维服务。</w:t>
      </w:r>
    </w:p>
    <w:p w14:paraId="527A5DF8">
      <w:pPr>
        <w:pStyle w:val="7"/>
        <w:spacing w:line="360" w:lineRule="auto"/>
        <w:ind w:firstLine="480"/>
        <w:rPr>
          <w:rFonts w:hint="eastAsia" w:ascii="仿宋" w:hAnsi="仿宋" w:eastAsia="仿宋" w:cs="宋体"/>
          <w:b w:val="0"/>
          <w:bCs/>
        </w:rPr>
      </w:pPr>
      <w:r>
        <w:rPr>
          <w:rFonts w:hint="eastAsia" w:ascii="仿宋" w:hAnsi="仿宋" w:eastAsia="仿宋" w:cs="宋体"/>
          <w:b w:val="0"/>
          <w:bCs/>
        </w:rPr>
        <w:t>广州市政府值班值守系统：</w:t>
      </w:r>
    </w:p>
    <w:p w14:paraId="0AD4AEA7">
      <w:pPr>
        <w:spacing w:line="360" w:lineRule="auto"/>
        <w:ind w:firstLine="480"/>
        <w:rPr>
          <w:rFonts w:hint="eastAsia" w:ascii="仿宋" w:hAnsi="仿宋" w:eastAsia="仿宋" w:cs="宋体"/>
          <w:sz w:val="24"/>
        </w:rPr>
      </w:pPr>
      <w:r>
        <w:rPr>
          <w:rFonts w:ascii="仿宋" w:hAnsi="仿宋" w:eastAsia="仿宋" w:cs="宋体"/>
          <w:sz w:val="24"/>
        </w:rPr>
        <w:t>广州市</w:t>
      </w:r>
      <w:r>
        <w:rPr>
          <w:rFonts w:hint="eastAsia" w:ascii="仿宋" w:hAnsi="仿宋" w:eastAsia="仿宋" w:cs="宋体"/>
          <w:sz w:val="24"/>
        </w:rPr>
        <w:t>政府值班值守系统2025年全年共登记办理事件 1238宗、领导批示 269 条、续报 412条、接收处理传真件 238 件、电话 4879 通、短信 3185 条、附件 2761 件，运行期间按要求完成了每周软硬件巡检、每月备份总结及运行数据统计分析，每月的漏扫处理，一些需求问题处理(如:短信安全改造、电子公文改造等)，系统总体运行稳定、可靠，能够满足总值班室业务工作要求，辅助其做好应急值守以及对市政府领导同志、办公厅的值班服务。</w:t>
      </w:r>
    </w:p>
    <w:tbl>
      <w:tblPr>
        <w:tblStyle w:val="10"/>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3786"/>
        <w:gridCol w:w="4228"/>
      </w:tblGrid>
      <w:tr w14:paraId="49E3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66C46CFD">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序号</w:t>
            </w:r>
          </w:p>
        </w:tc>
        <w:tc>
          <w:tcPr>
            <w:tcW w:w="2166" w:type="pct"/>
            <w:vAlign w:val="center"/>
          </w:tcPr>
          <w:p w14:paraId="74121529">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指标名称</w:t>
            </w:r>
          </w:p>
        </w:tc>
        <w:tc>
          <w:tcPr>
            <w:tcW w:w="2419" w:type="pct"/>
            <w:vAlign w:val="center"/>
          </w:tcPr>
          <w:p w14:paraId="602E6F9F">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运行情况</w:t>
            </w:r>
          </w:p>
        </w:tc>
      </w:tr>
      <w:tr w14:paraId="590D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07F8E02C">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1</w:t>
            </w:r>
          </w:p>
        </w:tc>
        <w:tc>
          <w:tcPr>
            <w:tcW w:w="2166" w:type="pct"/>
            <w:vAlign w:val="center"/>
          </w:tcPr>
          <w:p w14:paraId="7C47786C">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年度业务量（件）</w:t>
            </w:r>
          </w:p>
        </w:tc>
        <w:tc>
          <w:tcPr>
            <w:tcW w:w="2419" w:type="pct"/>
            <w:vAlign w:val="center"/>
          </w:tcPr>
          <w:p w14:paraId="58AA52CF">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2</w:t>
            </w:r>
            <w:r>
              <w:rPr>
                <w:rFonts w:ascii="仿宋" w:hAnsi="仿宋" w:eastAsia="仿宋" w:cs="宋体"/>
                <w:kern w:val="0"/>
              </w:rPr>
              <w:t>4</w:t>
            </w:r>
            <w:r>
              <w:rPr>
                <w:rFonts w:hint="eastAsia" w:ascii="仿宋" w:hAnsi="仿宋" w:eastAsia="仿宋" w:cs="宋体"/>
                <w:kern w:val="0"/>
              </w:rPr>
              <w:t>000-</w:t>
            </w:r>
            <w:r>
              <w:rPr>
                <w:rFonts w:ascii="仿宋" w:hAnsi="仿宋" w:eastAsia="仿宋" w:cs="宋体"/>
                <w:kern w:val="0"/>
              </w:rPr>
              <w:t>30</w:t>
            </w:r>
            <w:r>
              <w:rPr>
                <w:rFonts w:hint="eastAsia" w:ascii="仿宋" w:hAnsi="仿宋" w:eastAsia="仿宋" w:cs="宋体"/>
                <w:kern w:val="0"/>
              </w:rPr>
              <w:t>000(新增其他业务表统计)</w:t>
            </w:r>
          </w:p>
        </w:tc>
      </w:tr>
      <w:tr w14:paraId="3F44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01EBD396">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2</w:t>
            </w:r>
          </w:p>
        </w:tc>
        <w:tc>
          <w:tcPr>
            <w:tcW w:w="2166" w:type="pct"/>
            <w:vAlign w:val="center"/>
          </w:tcPr>
          <w:p w14:paraId="6F877B82">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年度新增数据量（条）</w:t>
            </w:r>
          </w:p>
        </w:tc>
        <w:tc>
          <w:tcPr>
            <w:tcW w:w="2419" w:type="pct"/>
            <w:vAlign w:val="center"/>
          </w:tcPr>
          <w:p w14:paraId="2196D1F2">
            <w:pPr>
              <w:widowControl/>
              <w:tabs>
                <w:tab w:val="right" w:leader="dot" w:pos="8297"/>
              </w:tabs>
              <w:jc w:val="center"/>
              <w:rPr>
                <w:rFonts w:hint="eastAsia" w:ascii="仿宋" w:hAnsi="仿宋" w:eastAsia="仿宋" w:cs="宋体"/>
                <w:kern w:val="0"/>
              </w:rPr>
            </w:pPr>
            <w:r>
              <w:rPr>
                <w:rFonts w:ascii="仿宋" w:hAnsi="仿宋" w:eastAsia="仿宋" w:cs="宋体"/>
                <w:kern w:val="0"/>
              </w:rPr>
              <w:t>7</w:t>
            </w:r>
            <w:r>
              <w:rPr>
                <w:rFonts w:hint="eastAsia" w:ascii="仿宋" w:hAnsi="仿宋" w:eastAsia="仿宋" w:cs="宋体"/>
                <w:kern w:val="0"/>
              </w:rPr>
              <w:t>40000-</w:t>
            </w:r>
            <w:r>
              <w:rPr>
                <w:rFonts w:ascii="仿宋" w:hAnsi="仿宋" w:eastAsia="仿宋" w:cs="宋体"/>
                <w:kern w:val="0"/>
              </w:rPr>
              <w:t>80</w:t>
            </w:r>
            <w:r>
              <w:rPr>
                <w:rFonts w:hint="eastAsia" w:ascii="仿宋" w:hAnsi="仿宋" w:eastAsia="仿宋" w:cs="宋体"/>
                <w:kern w:val="0"/>
              </w:rPr>
              <w:t>0000(含日志表统计)</w:t>
            </w:r>
          </w:p>
        </w:tc>
      </w:tr>
      <w:tr w14:paraId="760F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61E5EA23">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3</w:t>
            </w:r>
          </w:p>
        </w:tc>
        <w:tc>
          <w:tcPr>
            <w:tcW w:w="2166" w:type="pct"/>
            <w:vAlign w:val="center"/>
          </w:tcPr>
          <w:p w14:paraId="3E4F6DA0">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活跃用户数（个）</w:t>
            </w:r>
          </w:p>
        </w:tc>
        <w:tc>
          <w:tcPr>
            <w:tcW w:w="2419" w:type="pct"/>
            <w:vAlign w:val="center"/>
          </w:tcPr>
          <w:p w14:paraId="2CCFE9FF">
            <w:pPr>
              <w:widowControl/>
              <w:tabs>
                <w:tab w:val="right" w:leader="dot" w:pos="8297"/>
              </w:tabs>
              <w:jc w:val="center"/>
              <w:rPr>
                <w:rFonts w:hint="eastAsia" w:ascii="仿宋" w:hAnsi="仿宋" w:eastAsia="仿宋" w:cs="宋体"/>
                <w:kern w:val="0"/>
              </w:rPr>
            </w:pPr>
            <w:r>
              <w:rPr>
                <w:rFonts w:ascii="仿宋" w:hAnsi="仿宋" w:eastAsia="仿宋" w:cs="宋体"/>
                <w:kern w:val="0"/>
              </w:rPr>
              <w:t>59</w:t>
            </w:r>
          </w:p>
        </w:tc>
      </w:tr>
      <w:tr w14:paraId="7917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2F721752">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4</w:t>
            </w:r>
          </w:p>
        </w:tc>
        <w:tc>
          <w:tcPr>
            <w:tcW w:w="2166" w:type="pct"/>
            <w:vAlign w:val="center"/>
          </w:tcPr>
          <w:p w14:paraId="650872F3">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正常运行率（%）</w:t>
            </w:r>
          </w:p>
        </w:tc>
        <w:tc>
          <w:tcPr>
            <w:tcW w:w="2419" w:type="pct"/>
            <w:vAlign w:val="center"/>
          </w:tcPr>
          <w:p w14:paraId="3361209D">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100%</w:t>
            </w:r>
          </w:p>
        </w:tc>
      </w:tr>
      <w:tr w14:paraId="6F57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58B30DB8">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5</w:t>
            </w:r>
          </w:p>
        </w:tc>
        <w:tc>
          <w:tcPr>
            <w:tcW w:w="2166" w:type="pct"/>
            <w:vAlign w:val="center"/>
          </w:tcPr>
          <w:p w14:paraId="16F9A90F">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故障及时响应率（%）</w:t>
            </w:r>
          </w:p>
        </w:tc>
        <w:tc>
          <w:tcPr>
            <w:tcW w:w="2419" w:type="pct"/>
            <w:vAlign w:val="center"/>
          </w:tcPr>
          <w:p w14:paraId="0690E5F9">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100%</w:t>
            </w:r>
          </w:p>
        </w:tc>
      </w:tr>
      <w:tr w14:paraId="17EF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6C8F4DDA">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6</w:t>
            </w:r>
          </w:p>
        </w:tc>
        <w:tc>
          <w:tcPr>
            <w:tcW w:w="2166" w:type="pct"/>
            <w:vAlign w:val="center"/>
          </w:tcPr>
          <w:p w14:paraId="1033C808">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是否部署在政务云</w:t>
            </w:r>
          </w:p>
        </w:tc>
        <w:tc>
          <w:tcPr>
            <w:tcW w:w="2419" w:type="pct"/>
            <w:vAlign w:val="center"/>
          </w:tcPr>
          <w:p w14:paraId="1382E4D7">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是</w:t>
            </w:r>
          </w:p>
        </w:tc>
      </w:tr>
      <w:tr w14:paraId="0C90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 w:type="pct"/>
            <w:vAlign w:val="center"/>
          </w:tcPr>
          <w:p w14:paraId="76211934">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7</w:t>
            </w:r>
          </w:p>
        </w:tc>
        <w:tc>
          <w:tcPr>
            <w:tcW w:w="2166" w:type="pct"/>
            <w:vAlign w:val="center"/>
          </w:tcPr>
          <w:p w14:paraId="1DAFD089">
            <w:pPr>
              <w:widowControl/>
              <w:tabs>
                <w:tab w:val="right" w:leader="dot" w:pos="8297"/>
              </w:tabs>
              <w:jc w:val="center"/>
              <w:rPr>
                <w:rFonts w:hint="eastAsia" w:ascii="仿宋" w:hAnsi="仿宋" w:eastAsia="仿宋" w:cs="宋体"/>
                <w:kern w:val="0"/>
              </w:rPr>
            </w:pPr>
            <w:r>
              <w:rPr>
                <w:rFonts w:hint="eastAsia" w:ascii="仿宋" w:hAnsi="仿宋" w:eastAsia="仿宋" w:cs="宋体"/>
                <w:kern w:val="0"/>
              </w:rPr>
              <w:t>软件首次投入运行时入库资产金额（万元）</w:t>
            </w:r>
          </w:p>
        </w:tc>
        <w:tc>
          <w:tcPr>
            <w:tcW w:w="2419" w:type="pct"/>
            <w:vAlign w:val="center"/>
          </w:tcPr>
          <w:p w14:paraId="5177C982">
            <w:pPr>
              <w:widowControl/>
              <w:tabs>
                <w:tab w:val="right" w:leader="dot" w:pos="8297"/>
              </w:tabs>
              <w:jc w:val="center"/>
              <w:rPr>
                <w:rFonts w:hint="eastAsia" w:ascii="仿宋" w:hAnsi="仿宋" w:eastAsia="仿宋" w:cs="宋体"/>
                <w:kern w:val="0"/>
              </w:rPr>
            </w:pPr>
            <w:r>
              <w:rPr>
                <w:rFonts w:ascii="仿宋" w:hAnsi="仿宋" w:eastAsia="仿宋" w:cs="宋体"/>
                <w:kern w:val="0"/>
              </w:rPr>
              <w:t>124.8</w:t>
            </w:r>
          </w:p>
        </w:tc>
      </w:tr>
    </w:tbl>
    <w:p w14:paraId="6B69398B">
      <w:pPr>
        <w:spacing w:line="360" w:lineRule="auto"/>
        <w:ind w:firstLine="480"/>
        <w:rPr>
          <w:rFonts w:hint="eastAsia" w:ascii="仿宋" w:hAnsi="仿宋" w:eastAsia="仿宋" w:cs="宋体"/>
          <w:sz w:val="24"/>
        </w:rPr>
      </w:pPr>
    </w:p>
    <w:p w14:paraId="2A833DC1">
      <w:pPr>
        <w:pStyle w:val="7"/>
        <w:ind w:firstLine="480"/>
        <w:rPr>
          <w:rFonts w:hint="eastAsia" w:ascii="仿宋" w:hAnsi="仿宋" w:eastAsia="仿宋" w:cs="宋体"/>
          <w:b w:val="0"/>
          <w:bCs/>
        </w:rPr>
      </w:pPr>
      <w:r>
        <w:rPr>
          <w:rFonts w:hint="eastAsia" w:ascii="仿宋" w:hAnsi="仿宋" w:eastAsia="仿宋" w:cs="宋体"/>
          <w:b w:val="0"/>
          <w:bCs/>
        </w:rPr>
        <w:t>政务知识赋能系统：</w:t>
      </w:r>
    </w:p>
    <w:p w14:paraId="021762E9">
      <w:pPr>
        <w:spacing w:line="360" w:lineRule="auto"/>
        <w:ind w:firstLine="480" w:firstLineChars="200"/>
        <w:rPr>
          <w:rFonts w:hint="eastAsia" w:ascii="仿宋" w:hAnsi="仿宋" w:eastAsia="仿宋" w:cs="宋体"/>
          <w:sz w:val="24"/>
        </w:rPr>
      </w:pPr>
      <w:r>
        <w:rPr>
          <w:rFonts w:ascii="仿宋" w:hAnsi="仿宋" w:eastAsia="仿宋" w:cs="宋体"/>
          <w:sz w:val="24"/>
        </w:rPr>
        <w:t>政务知识赋能系统作为我厅数据归集整合、提升政务智能化水平的重要平台工具，为市政府值班值守系统以及厅其它各协同办公应用提供了政策数据、法规条文及实时动态更新等内容，有效支撑了应急指挥调度、跨部门业务协同和智能决策分析，为推进政府治理体系和治理能力现代化提供了坚实的数据基础与技术保障。</w:t>
      </w:r>
    </w:p>
    <w:p w14:paraId="31C8BD87">
      <w:pPr>
        <w:spacing w:line="360" w:lineRule="auto"/>
        <w:ind w:firstLine="480" w:firstLineChars="200"/>
        <w:rPr>
          <w:rFonts w:hint="eastAsia" w:ascii="仿宋" w:hAnsi="仿宋" w:eastAsia="仿宋" w:cs="宋体"/>
          <w:sz w:val="24"/>
        </w:rPr>
      </w:pPr>
      <w:r>
        <w:rPr>
          <w:rFonts w:ascii="仿宋" w:hAnsi="仿宋" w:eastAsia="仿宋" w:cs="宋体"/>
          <w:sz w:val="24"/>
        </w:rPr>
        <w:t>现入库知识总量达到 141309篇，最近12个月平均每天登录 26.32 人次，占用户总数的 77.4%，每次登录平均PV 64.16。政策文件库、党建知识、近期会议、近期热点等内容入库平均每月增量入库1000+条，已承担起政务知识分类管理、数据汇聚入库、专题内容治理等多项核心职能。</w:t>
      </w:r>
    </w:p>
    <w:p w14:paraId="1128B0B7">
      <w:pPr>
        <w:pStyle w:val="7"/>
        <w:spacing w:line="360" w:lineRule="auto"/>
        <w:ind w:firstLine="480"/>
        <w:rPr>
          <w:rFonts w:hint="eastAsia" w:ascii="仿宋" w:hAnsi="仿宋" w:eastAsia="仿宋" w:cs="宋体"/>
          <w:b w:val="0"/>
          <w:bCs/>
        </w:rPr>
      </w:pPr>
      <w:r>
        <w:rPr>
          <w:rFonts w:hint="eastAsia" w:ascii="仿宋" w:hAnsi="仿宋" w:eastAsia="仿宋" w:cs="宋体"/>
          <w:b w:val="0"/>
          <w:bCs/>
        </w:rPr>
        <w:t>福昕鲲鹏OCR识别服务系统：</w:t>
      </w:r>
    </w:p>
    <w:p w14:paraId="5B849E7B">
      <w:pPr>
        <w:spacing w:line="360" w:lineRule="auto"/>
        <w:ind w:firstLine="480" w:firstLineChars="200"/>
        <w:rPr>
          <w:rFonts w:hint="eastAsia" w:ascii="仿宋" w:hAnsi="仿宋" w:eastAsia="仿宋" w:cs="宋体"/>
          <w:sz w:val="24"/>
        </w:rPr>
      </w:pPr>
      <w:r>
        <w:rPr>
          <w:rFonts w:hint="eastAsia" w:ascii="仿宋" w:hAnsi="仿宋" w:eastAsia="仿宋" w:cs="宋体"/>
          <w:sz w:val="24"/>
        </w:rPr>
        <w:t xml:space="preserve">我单位于2020年采购了2套福昕鲲鹏OCR识别服务系统，系统已与市政府值班值守平台及厅内其他协同办公应用完成对接集成部署，稳定运行至今已超三年，截至目前，两套系统的免费技术支持服务期已届满。OCR识别服务系统现已深度集成至市政府值班值守平台及多个办公应用，同时单位各部门人员均可通过专属工具页面便捷调用系统功能。根据系统后台统计数据显示，该服务日均调用次数稳定在550次左右，峰值接近1000次，充分体现了系统在日常政务工作中的高使用频率与可靠性。 </w:t>
      </w:r>
    </w:p>
    <w:p w14:paraId="27A9EF7B">
      <w:pPr>
        <w:pStyle w:val="6"/>
        <w:rPr>
          <w:rFonts w:hint="eastAsia" w:ascii="仿宋" w:hAnsi="仿宋" w:eastAsia="仿宋" w:cs="宋体"/>
          <w:sz w:val="24"/>
        </w:rPr>
      </w:pPr>
      <w:bookmarkStart w:id="26" w:name="_Toc190266940"/>
      <w:r>
        <w:rPr>
          <w:rFonts w:hint="eastAsia" w:ascii="仿宋" w:hAnsi="仿宋" w:eastAsia="仿宋" w:cs="宋体"/>
          <w:sz w:val="24"/>
        </w:rPr>
        <w:t>广东省预算单位财务管理系统广州市分级系统</w:t>
      </w:r>
      <w:bookmarkEnd w:id="26"/>
    </w:p>
    <w:p w14:paraId="2D0CB2D2">
      <w:pPr>
        <w:spacing w:line="360" w:lineRule="auto"/>
        <w:ind w:firstLine="480"/>
        <w:rPr>
          <w:rFonts w:hint="eastAsia" w:ascii="仿宋" w:hAnsi="仿宋" w:eastAsia="仿宋" w:cs="宋体"/>
          <w:sz w:val="24"/>
        </w:rPr>
      </w:pPr>
      <w:r>
        <w:rPr>
          <w:rFonts w:hint="eastAsia" w:ascii="仿宋" w:hAnsi="仿宋" w:eastAsia="仿宋" w:cs="宋体"/>
          <w:sz w:val="24"/>
        </w:rPr>
        <w:t>预算单位财务管理系统广州市分级系统2025年全年共填报销单1268条、办公厅报销单700条，各单位报销单568条。</w:t>
      </w:r>
    </w:p>
    <w:p w14:paraId="7DA4EBDE">
      <w:pPr>
        <w:spacing w:line="360" w:lineRule="auto"/>
        <w:ind w:firstLine="480"/>
        <w:rPr>
          <w:rFonts w:hint="eastAsia" w:ascii="仿宋" w:hAnsi="仿宋" w:eastAsia="仿宋" w:cs="宋体"/>
          <w:sz w:val="24"/>
        </w:rPr>
      </w:pPr>
      <w:r>
        <w:rPr>
          <w:rFonts w:hint="eastAsia" w:ascii="仿宋" w:hAnsi="仿宋" w:eastAsia="仿宋" w:cs="宋体"/>
          <w:sz w:val="24"/>
        </w:rPr>
        <w:t>具体运行情况如下：</w:t>
      </w:r>
    </w:p>
    <w:tbl>
      <w:tblPr>
        <w:tblStyle w:val="10"/>
        <w:tblW w:w="49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
        <w:gridCol w:w="5213"/>
        <w:gridCol w:w="2324"/>
      </w:tblGrid>
      <w:tr w14:paraId="704A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79" w:type="dxa"/>
            <w:vAlign w:val="center"/>
          </w:tcPr>
          <w:p w14:paraId="2D6ED462">
            <w:pPr>
              <w:pStyle w:val="9"/>
              <w:ind w:left="0" w:leftChars="0" w:firstLine="0" w:firstLineChars="0"/>
              <w:rPr>
                <w:rFonts w:hint="eastAsia" w:ascii="仿宋" w:hAnsi="仿宋" w:eastAsia="仿宋"/>
              </w:rPr>
            </w:pPr>
            <w:r>
              <w:rPr>
                <w:rFonts w:hint="eastAsia" w:ascii="仿宋" w:hAnsi="仿宋" w:eastAsia="仿宋"/>
              </w:rPr>
              <w:t>序号</w:t>
            </w:r>
          </w:p>
        </w:tc>
        <w:tc>
          <w:tcPr>
            <w:tcW w:w="5075" w:type="dxa"/>
            <w:vAlign w:val="center"/>
          </w:tcPr>
          <w:p w14:paraId="0159FF9B">
            <w:pPr>
              <w:pStyle w:val="9"/>
              <w:ind w:left="0" w:leftChars="0" w:firstLine="0" w:firstLineChars="0"/>
              <w:rPr>
                <w:rFonts w:hint="eastAsia" w:ascii="仿宋" w:hAnsi="仿宋" w:eastAsia="仿宋"/>
              </w:rPr>
            </w:pPr>
            <w:r>
              <w:rPr>
                <w:rFonts w:hint="eastAsia" w:ascii="仿宋" w:hAnsi="仿宋" w:eastAsia="仿宋"/>
              </w:rPr>
              <w:t>指标名称</w:t>
            </w:r>
          </w:p>
        </w:tc>
        <w:tc>
          <w:tcPr>
            <w:tcW w:w="2263" w:type="dxa"/>
            <w:vAlign w:val="center"/>
          </w:tcPr>
          <w:p w14:paraId="4EA5F206">
            <w:pPr>
              <w:pStyle w:val="9"/>
              <w:ind w:left="0" w:leftChars="0" w:firstLine="0" w:firstLineChars="0"/>
              <w:rPr>
                <w:rFonts w:hint="eastAsia" w:ascii="仿宋" w:hAnsi="仿宋" w:eastAsia="仿宋"/>
              </w:rPr>
            </w:pPr>
            <w:r>
              <w:rPr>
                <w:rFonts w:hint="eastAsia" w:ascii="仿宋" w:hAnsi="仿宋" w:eastAsia="仿宋"/>
              </w:rPr>
              <w:t>运行情况</w:t>
            </w:r>
          </w:p>
        </w:tc>
      </w:tr>
      <w:tr w14:paraId="3987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411F563B">
            <w:pPr>
              <w:pStyle w:val="9"/>
              <w:ind w:left="0" w:leftChars="0" w:firstLine="0" w:firstLineChars="0"/>
              <w:rPr>
                <w:rFonts w:hint="eastAsia" w:ascii="仿宋" w:hAnsi="仿宋" w:eastAsia="仿宋"/>
              </w:rPr>
            </w:pPr>
            <w:r>
              <w:rPr>
                <w:rFonts w:hint="eastAsia" w:ascii="仿宋" w:hAnsi="仿宋" w:eastAsia="仿宋"/>
              </w:rPr>
              <w:t>1</w:t>
            </w:r>
          </w:p>
        </w:tc>
        <w:tc>
          <w:tcPr>
            <w:tcW w:w="5075" w:type="dxa"/>
            <w:vAlign w:val="center"/>
          </w:tcPr>
          <w:p w14:paraId="52D5A5AA">
            <w:pPr>
              <w:pStyle w:val="9"/>
              <w:ind w:left="0" w:leftChars="0" w:firstLine="0" w:firstLineChars="0"/>
              <w:rPr>
                <w:rFonts w:hint="eastAsia" w:ascii="仿宋" w:hAnsi="仿宋" w:eastAsia="仿宋"/>
              </w:rPr>
            </w:pPr>
            <w:r>
              <w:rPr>
                <w:rFonts w:hint="eastAsia" w:ascii="仿宋" w:hAnsi="仿宋" w:eastAsia="仿宋"/>
              </w:rPr>
              <w:t>年度业务量（件）</w:t>
            </w:r>
          </w:p>
        </w:tc>
        <w:tc>
          <w:tcPr>
            <w:tcW w:w="2263" w:type="dxa"/>
            <w:vAlign w:val="center"/>
          </w:tcPr>
          <w:p w14:paraId="0AD36E3C">
            <w:pPr>
              <w:pStyle w:val="9"/>
              <w:ind w:left="0" w:leftChars="0" w:firstLine="0" w:firstLineChars="0"/>
              <w:rPr>
                <w:rFonts w:hint="eastAsia" w:ascii="仿宋" w:hAnsi="仿宋" w:eastAsia="仿宋"/>
              </w:rPr>
            </w:pPr>
            <w:r>
              <w:rPr>
                <w:rFonts w:hint="eastAsia" w:ascii="仿宋" w:hAnsi="仿宋" w:eastAsia="仿宋"/>
              </w:rPr>
              <w:t>3000-4000条</w:t>
            </w:r>
          </w:p>
        </w:tc>
      </w:tr>
      <w:tr w14:paraId="4B13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240069DC">
            <w:pPr>
              <w:pStyle w:val="9"/>
              <w:ind w:left="0" w:leftChars="0" w:firstLine="0" w:firstLineChars="0"/>
              <w:rPr>
                <w:rFonts w:hint="eastAsia" w:ascii="仿宋" w:hAnsi="仿宋" w:eastAsia="仿宋"/>
              </w:rPr>
            </w:pPr>
            <w:r>
              <w:rPr>
                <w:rFonts w:hint="eastAsia" w:ascii="仿宋" w:hAnsi="仿宋" w:eastAsia="仿宋"/>
              </w:rPr>
              <w:t>2</w:t>
            </w:r>
          </w:p>
        </w:tc>
        <w:tc>
          <w:tcPr>
            <w:tcW w:w="5075" w:type="dxa"/>
            <w:vAlign w:val="center"/>
          </w:tcPr>
          <w:p w14:paraId="0EC220CE">
            <w:pPr>
              <w:pStyle w:val="9"/>
              <w:ind w:left="0" w:leftChars="0" w:firstLine="0" w:firstLineChars="0"/>
              <w:rPr>
                <w:rFonts w:hint="eastAsia" w:ascii="仿宋" w:hAnsi="仿宋" w:eastAsia="仿宋"/>
              </w:rPr>
            </w:pPr>
            <w:r>
              <w:rPr>
                <w:rFonts w:hint="eastAsia" w:ascii="仿宋" w:hAnsi="仿宋" w:eastAsia="仿宋"/>
              </w:rPr>
              <w:t>年度新增数据量（条）</w:t>
            </w:r>
          </w:p>
        </w:tc>
        <w:tc>
          <w:tcPr>
            <w:tcW w:w="2263" w:type="dxa"/>
            <w:vAlign w:val="center"/>
          </w:tcPr>
          <w:p w14:paraId="3072D179">
            <w:pPr>
              <w:pStyle w:val="9"/>
              <w:ind w:left="0" w:leftChars="0" w:firstLine="0" w:firstLineChars="0"/>
              <w:rPr>
                <w:rFonts w:hint="eastAsia" w:ascii="仿宋" w:hAnsi="仿宋" w:eastAsia="仿宋"/>
              </w:rPr>
            </w:pPr>
            <w:r>
              <w:rPr>
                <w:rFonts w:hint="eastAsia" w:ascii="仿宋" w:hAnsi="仿宋" w:eastAsia="仿宋"/>
              </w:rPr>
              <w:t>40000-50000条</w:t>
            </w:r>
          </w:p>
        </w:tc>
      </w:tr>
      <w:tr w14:paraId="0CC76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1FD48181">
            <w:pPr>
              <w:pStyle w:val="9"/>
              <w:ind w:left="0" w:leftChars="0" w:firstLine="0" w:firstLineChars="0"/>
              <w:rPr>
                <w:rFonts w:hint="eastAsia" w:ascii="仿宋" w:hAnsi="仿宋" w:eastAsia="仿宋"/>
              </w:rPr>
            </w:pPr>
            <w:r>
              <w:rPr>
                <w:rFonts w:hint="eastAsia" w:ascii="仿宋" w:hAnsi="仿宋" w:eastAsia="仿宋"/>
              </w:rPr>
              <w:t>3</w:t>
            </w:r>
          </w:p>
        </w:tc>
        <w:tc>
          <w:tcPr>
            <w:tcW w:w="5075" w:type="dxa"/>
            <w:vAlign w:val="center"/>
          </w:tcPr>
          <w:p w14:paraId="69A2FC66">
            <w:pPr>
              <w:pStyle w:val="9"/>
              <w:ind w:left="0" w:leftChars="0" w:firstLine="0" w:firstLineChars="0"/>
              <w:rPr>
                <w:rFonts w:hint="eastAsia" w:ascii="仿宋" w:hAnsi="仿宋" w:eastAsia="仿宋"/>
              </w:rPr>
            </w:pPr>
            <w:r>
              <w:rPr>
                <w:rFonts w:hint="eastAsia" w:ascii="仿宋" w:hAnsi="仿宋" w:eastAsia="仿宋"/>
              </w:rPr>
              <w:t>活跃用户数（个）</w:t>
            </w:r>
          </w:p>
        </w:tc>
        <w:tc>
          <w:tcPr>
            <w:tcW w:w="2263" w:type="dxa"/>
            <w:vAlign w:val="center"/>
          </w:tcPr>
          <w:p w14:paraId="42748954">
            <w:pPr>
              <w:pStyle w:val="9"/>
              <w:ind w:left="0" w:leftChars="0" w:firstLine="0" w:firstLineChars="0"/>
              <w:rPr>
                <w:rFonts w:hint="eastAsia" w:ascii="仿宋" w:hAnsi="仿宋" w:eastAsia="仿宋"/>
                <w:highlight w:val="yellow"/>
              </w:rPr>
            </w:pPr>
            <w:r>
              <w:rPr>
                <w:rFonts w:ascii="仿宋" w:hAnsi="仿宋" w:eastAsia="仿宋"/>
              </w:rPr>
              <w:t>1124</w:t>
            </w:r>
          </w:p>
        </w:tc>
      </w:tr>
      <w:tr w14:paraId="203FD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6BDC0CAD">
            <w:pPr>
              <w:pStyle w:val="9"/>
              <w:ind w:left="0" w:leftChars="0" w:firstLine="0" w:firstLineChars="0"/>
              <w:rPr>
                <w:rFonts w:hint="eastAsia" w:ascii="仿宋" w:hAnsi="仿宋" w:eastAsia="仿宋"/>
              </w:rPr>
            </w:pPr>
            <w:r>
              <w:rPr>
                <w:rFonts w:hint="eastAsia" w:ascii="仿宋" w:hAnsi="仿宋" w:eastAsia="仿宋"/>
              </w:rPr>
              <w:t>4</w:t>
            </w:r>
          </w:p>
        </w:tc>
        <w:tc>
          <w:tcPr>
            <w:tcW w:w="5075" w:type="dxa"/>
            <w:vAlign w:val="center"/>
          </w:tcPr>
          <w:p w14:paraId="4C8793FF">
            <w:pPr>
              <w:pStyle w:val="9"/>
              <w:ind w:left="0" w:leftChars="0" w:firstLine="0" w:firstLineChars="0"/>
              <w:rPr>
                <w:rFonts w:hint="eastAsia" w:ascii="仿宋" w:hAnsi="仿宋" w:eastAsia="仿宋"/>
              </w:rPr>
            </w:pPr>
            <w:r>
              <w:rPr>
                <w:rFonts w:hint="eastAsia" w:ascii="仿宋" w:hAnsi="仿宋" w:eastAsia="仿宋"/>
              </w:rPr>
              <w:t>正常运行率（%）</w:t>
            </w:r>
          </w:p>
        </w:tc>
        <w:tc>
          <w:tcPr>
            <w:tcW w:w="2263" w:type="dxa"/>
            <w:vAlign w:val="center"/>
          </w:tcPr>
          <w:p w14:paraId="6AF28AB4">
            <w:pPr>
              <w:pStyle w:val="9"/>
              <w:ind w:left="0" w:leftChars="0" w:firstLine="0" w:firstLineChars="0"/>
              <w:rPr>
                <w:rFonts w:hint="eastAsia" w:ascii="仿宋" w:hAnsi="仿宋" w:eastAsia="仿宋"/>
              </w:rPr>
            </w:pPr>
            <w:r>
              <w:rPr>
                <w:rFonts w:ascii="仿宋" w:hAnsi="仿宋" w:eastAsia="仿宋"/>
              </w:rPr>
              <w:t>9</w:t>
            </w:r>
            <w:r>
              <w:rPr>
                <w:rFonts w:hint="eastAsia" w:ascii="仿宋" w:hAnsi="仿宋" w:eastAsia="仿宋"/>
              </w:rPr>
              <w:t>9%</w:t>
            </w:r>
          </w:p>
        </w:tc>
      </w:tr>
      <w:tr w14:paraId="1D6C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70800A61">
            <w:pPr>
              <w:pStyle w:val="9"/>
              <w:ind w:left="0" w:leftChars="0" w:firstLine="0" w:firstLineChars="0"/>
              <w:rPr>
                <w:rFonts w:hint="eastAsia" w:ascii="仿宋" w:hAnsi="仿宋" w:eastAsia="仿宋"/>
              </w:rPr>
            </w:pPr>
            <w:r>
              <w:rPr>
                <w:rFonts w:hint="eastAsia" w:ascii="仿宋" w:hAnsi="仿宋" w:eastAsia="仿宋"/>
              </w:rPr>
              <w:t>5</w:t>
            </w:r>
          </w:p>
        </w:tc>
        <w:tc>
          <w:tcPr>
            <w:tcW w:w="5075" w:type="dxa"/>
            <w:vAlign w:val="center"/>
          </w:tcPr>
          <w:p w14:paraId="70DD3BEC">
            <w:pPr>
              <w:pStyle w:val="9"/>
              <w:ind w:left="0" w:leftChars="0" w:firstLine="0" w:firstLineChars="0"/>
              <w:rPr>
                <w:rFonts w:hint="eastAsia" w:ascii="仿宋" w:hAnsi="仿宋" w:eastAsia="仿宋"/>
              </w:rPr>
            </w:pPr>
            <w:r>
              <w:rPr>
                <w:rFonts w:hint="eastAsia" w:ascii="仿宋" w:hAnsi="仿宋" w:eastAsia="仿宋"/>
              </w:rPr>
              <w:t>故障及时响应率（%）</w:t>
            </w:r>
          </w:p>
        </w:tc>
        <w:tc>
          <w:tcPr>
            <w:tcW w:w="2263" w:type="dxa"/>
            <w:vAlign w:val="center"/>
          </w:tcPr>
          <w:p w14:paraId="61893788">
            <w:pPr>
              <w:pStyle w:val="9"/>
              <w:ind w:left="0" w:leftChars="0" w:firstLine="0" w:firstLineChars="0"/>
              <w:rPr>
                <w:rFonts w:hint="eastAsia" w:ascii="仿宋" w:hAnsi="仿宋" w:eastAsia="仿宋"/>
              </w:rPr>
            </w:pPr>
            <w:r>
              <w:rPr>
                <w:rFonts w:ascii="仿宋" w:hAnsi="仿宋" w:eastAsia="仿宋"/>
              </w:rPr>
              <w:t>9</w:t>
            </w:r>
            <w:r>
              <w:rPr>
                <w:rFonts w:hint="eastAsia" w:ascii="仿宋" w:hAnsi="仿宋" w:eastAsia="仿宋"/>
              </w:rPr>
              <w:t>9%</w:t>
            </w:r>
          </w:p>
        </w:tc>
      </w:tr>
      <w:tr w14:paraId="114B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20FD6461">
            <w:pPr>
              <w:pStyle w:val="9"/>
              <w:ind w:left="0" w:leftChars="0" w:firstLine="0" w:firstLineChars="0"/>
              <w:rPr>
                <w:rFonts w:hint="eastAsia" w:ascii="仿宋" w:hAnsi="仿宋" w:eastAsia="仿宋"/>
              </w:rPr>
            </w:pPr>
            <w:r>
              <w:rPr>
                <w:rFonts w:hint="eastAsia" w:ascii="仿宋" w:hAnsi="仿宋" w:eastAsia="仿宋"/>
              </w:rPr>
              <w:t>6</w:t>
            </w:r>
          </w:p>
        </w:tc>
        <w:tc>
          <w:tcPr>
            <w:tcW w:w="5075" w:type="dxa"/>
            <w:vAlign w:val="center"/>
          </w:tcPr>
          <w:p w14:paraId="11974254">
            <w:pPr>
              <w:pStyle w:val="9"/>
              <w:ind w:left="0" w:leftChars="0" w:firstLine="0" w:firstLineChars="0"/>
              <w:rPr>
                <w:rFonts w:hint="eastAsia" w:ascii="仿宋" w:hAnsi="仿宋" w:eastAsia="仿宋"/>
              </w:rPr>
            </w:pPr>
            <w:r>
              <w:rPr>
                <w:rFonts w:hint="eastAsia" w:ascii="仿宋" w:hAnsi="仿宋" w:eastAsia="仿宋"/>
              </w:rPr>
              <w:t>是否部署在政务云</w:t>
            </w:r>
          </w:p>
        </w:tc>
        <w:tc>
          <w:tcPr>
            <w:tcW w:w="2263" w:type="dxa"/>
            <w:vAlign w:val="center"/>
          </w:tcPr>
          <w:p w14:paraId="18E73496">
            <w:pPr>
              <w:pStyle w:val="9"/>
              <w:ind w:left="0" w:leftChars="0" w:firstLine="0" w:firstLineChars="0"/>
              <w:rPr>
                <w:rFonts w:hint="eastAsia" w:ascii="仿宋" w:hAnsi="仿宋" w:eastAsia="仿宋"/>
              </w:rPr>
            </w:pPr>
            <w:r>
              <w:rPr>
                <w:rFonts w:hint="eastAsia" w:ascii="仿宋" w:hAnsi="仿宋" w:eastAsia="仿宋"/>
              </w:rPr>
              <w:t>是</w:t>
            </w:r>
          </w:p>
        </w:tc>
      </w:tr>
      <w:tr w14:paraId="0515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9" w:type="dxa"/>
            <w:vAlign w:val="center"/>
          </w:tcPr>
          <w:p w14:paraId="784300A7">
            <w:pPr>
              <w:pStyle w:val="9"/>
              <w:ind w:left="0" w:leftChars="0" w:firstLine="0" w:firstLineChars="0"/>
              <w:rPr>
                <w:rFonts w:hint="eastAsia" w:ascii="仿宋" w:hAnsi="仿宋" w:eastAsia="仿宋"/>
              </w:rPr>
            </w:pPr>
            <w:r>
              <w:rPr>
                <w:rFonts w:hint="eastAsia" w:ascii="仿宋" w:hAnsi="仿宋" w:eastAsia="仿宋"/>
              </w:rPr>
              <w:t>7</w:t>
            </w:r>
          </w:p>
        </w:tc>
        <w:tc>
          <w:tcPr>
            <w:tcW w:w="5075" w:type="dxa"/>
            <w:vAlign w:val="center"/>
          </w:tcPr>
          <w:p w14:paraId="0738DE27">
            <w:pPr>
              <w:pStyle w:val="9"/>
              <w:ind w:left="0" w:leftChars="0" w:firstLine="0" w:firstLineChars="0"/>
              <w:rPr>
                <w:rFonts w:hint="eastAsia" w:ascii="仿宋" w:hAnsi="仿宋" w:eastAsia="仿宋"/>
              </w:rPr>
            </w:pPr>
            <w:r>
              <w:rPr>
                <w:rFonts w:hint="eastAsia" w:ascii="仿宋" w:hAnsi="仿宋" w:eastAsia="仿宋"/>
              </w:rPr>
              <w:t>软件首次投入运行时入库资产金额（万元）</w:t>
            </w:r>
          </w:p>
        </w:tc>
        <w:tc>
          <w:tcPr>
            <w:tcW w:w="2263" w:type="dxa"/>
            <w:vAlign w:val="center"/>
          </w:tcPr>
          <w:p w14:paraId="14C4BFA0">
            <w:pPr>
              <w:pStyle w:val="9"/>
              <w:ind w:left="0" w:leftChars="0" w:firstLine="0" w:firstLineChars="0"/>
              <w:rPr>
                <w:rFonts w:hint="eastAsia" w:ascii="仿宋" w:hAnsi="仿宋" w:eastAsia="仿宋"/>
              </w:rPr>
            </w:pPr>
            <w:r>
              <w:rPr>
                <w:rFonts w:hint="eastAsia" w:ascii="仿宋" w:hAnsi="仿宋" w:eastAsia="仿宋"/>
              </w:rPr>
              <w:t>/</w:t>
            </w:r>
          </w:p>
        </w:tc>
      </w:tr>
    </w:tbl>
    <w:p w14:paraId="2123C82F">
      <w:pPr>
        <w:ind w:firstLine="480"/>
        <w:rPr>
          <w:rFonts w:hint="eastAsia" w:ascii="仿宋" w:hAnsi="仿宋" w:eastAsia="仿宋"/>
        </w:rPr>
      </w:pPr>
    </w:p>
    <w:p w14:paraId="4D9A55CA">
      <w:pPr>
        <w:spacing w:line="360" w:lineRule="auto"/>
        <w:ind w:firstLine="480"/>
        <w:rPr>
          <w:rFonts w:hint="eastAsia" w:ascii="仿宋" w:hAnsi="仿宋" w:eastAsia="仿宋" w:cs="宋体"/>
          <w:sz w:val="24"/>
        </w:rPr>
      </w:pPr>
    </w:p>
    <w:p w14:paraId="70F5F18C">
      <w:pPr>
        <w:pStyle w:val="5"/>
        <w:rPr>
          <w:rFonts w:hint="eastAsia" w:ascii="仿宋" w:hAnsi="仿宋" w:eastAsia="仿宋" w:cs="宋体"/>
          <w:sz w:val="24"/>
        </w:rPr>
      </w:pPr>
      <w:r>
        <w:rPr>
          <w:rFonts w:hint="eastAsia" w:ascii="仿宋" w:hAnsi="仿宋" w:eastAsia="仿宋" w:cs="宋体"/>
          <w:sz w:val="24"/>
        </w:rPr>
        <w:t>应用类系统服务方式及主要内容</w:t>
      </w:r>
    </w:p>
    <w:p w14:paraId="4F6E6502">
      <w:pPr>
        <w:spacing w:line="360" w:lineRule="auto"/>
        <w:ind w:firstLine="480"/>
        <w:rPr>
          <w:rFonts w:hint="eastAsia" w:ascii="仿宋" w:hAnsi="仿宋" w:eastAsia="仿宋" w:cs="宋体"/>
          <w:sz w:val="24"/>
        </w:rPr>
      </w:pPr>
      <w:r>
        <w:rPr>
          <w:rFonts w:hint="eastAsia" w:ascii="仿宋" w:hAnsi="仿宋" w:eastAsia="仿宋" w:cs="宋体"/>
          <w:sz w:val="24"/>
        </w:rPr>
        <w:t>通过“预防—响应—优化—协同”四位一体的服务体系，中标人将全面保障应用类系统的高可用、高安全、高可靠，并支撑其长期可持续演进，中标人将通过标准化服务方式，提供覆盖“运行保障—故障应急—持续优化—能力协同”全周期的运维支持。具体内容如下：</w:t>
      </w:r>
    </w:p>
    <w:p w14:paraId="11FB55CC">
      <w:pPr>
        <w:spacing w:line="360" w:lineRule="auto"/>
        <w:ind w:firstLine="480"/>
        <w:rPr>
          <w:rFonts w:hint="eastAsia" w:ascii="仿宋" w:hAnsi="仿宋" w:eastAsia="仿宋" w:cs="宋体"/>
          <w:sz w:val="24"/>
        </w:rPr>
      </w:pPr>
      <w:r>
        <w:rPr>
          <w:rFonts w:hint="eastAsia" w:ascii="仿宋" w:hAnsi="仿宋" w:eastAsia="仿宋" w:cs="宋体"/>
          <w:sz w:val="24"/>
        </w:rPr>
        <w:t>一、服务方式</w:t>
      </w:r>
    </w:p>
    <w:p w14:paraId="22385AFB">
      <w:pPr>
        <w:spacing w:line="360" w:lineRule="auto"/>
        <w:ind w:firstLine="480"/>
        <w:rPr>
          <w:rFonts w:hint="eastAsia" w:ascii="仿宋" w:hAnsi="仿宋" w:eastAsia="仿宋" w:cs="宋体"/>
          <w:sz w:val="24"/>
        </w:rPr>
      </w:pPr>
      <w:r>
        <w:rPr>
          <w:rFonts w:hint="eastAsia" w:ascii="仿宋" w:hAnsi="仿宋" w:eastAsia="仿宋" w:cs="宋体"/>
          <w:sz w:val="24"/>
        </w:rPr>
        <w:t>中标人通过以下3种方式提供全天候、多维度的技术支撑：</w:t>
      </w:r>
    </w:p>
    <w:p w14:paraId="60278649">
      <w:pPr>
        <w:spacing w:line="360" w:lineRule="auto"/>
        <w:ind w:firstLine="899"/>
        <w:rPr>
          <w:rFonts w:hint="eastAsia" w:ascii="仿宋" w:hAnsi="仿宋" w:eastAsia="仿宋" w:cs="宋体"/>
          <w:sz w:val="24"/>
        </w:rPr>
      </w:pPr>
      <w:r>
        <w:rPr>
          <w:rFonts w:hint="eastAsia" w:ascii="仿宋" w:hAnsi="仿宋" w:eastAsia="仿宋" w:cs="宋体"/>
          <w:sz w:val="24"/>
        </w:rPr>
        <w:t>7×24小时热线支持：提供全年无休的电话技术响应；</w:t>
      </w:r>
    </w:p>
    <w:p w14:paraId="75B51376">
      <w:pPr>
        <w:spacing w:line="360" w:lineRule="auto"/>
        <w:ind w:firstLine="899"/>
        <w:rPr>
          <w:rFonts w:hint="eastAsia" w:ascii="仿宋" w:hAnsi="仿宋" w:eastAsia="仿宋" w:cs="宋体"/>
          <w:sz w:val="24"/>
        </w:rPr>
      </w:pPr>
      <w:r>
        <w:rPr>
          <w:rFonts w:hint="eastAsia" w:ascii="仿宋" w:hAnsi="仿宋" w:eastAsia="仿宋" w:cs="宋体"/>
          <w:sz w:val="24"/>
        </w:rPr>
        <w:t>7×8小时现场支持：工作日8小时内按需提供现场技术服务；</w:t>
      </w:r>
    </w:p>
    <w:p w14:paraId="49565B9F">
      <w:pPr>
        <w:spacing w:line="360" w:lineRule="auto"/>
        <w:ind w:firstLine="899"/>
        <w:rPr>
          <w:rFonts w:hint="eastAsia" w:ascii="仿宋" w:hAnsi="仿宋" w:eastAsia="仿宋" w:cs="宋体"/>
          <w:sz w:val="24"/>
        </w:rPr>
      </w:pPr>
      <w:r>
        <w:rPr>
          <w:rFonts w:hint="eastAsia" w:ascii="仿宋" w:hAnsi="仿宋" w:eastAsia="仿宋" w:cs="宋体"/>
          <w:sz w:val="24"/>
        </w:rPr>
        <w:t>7×8小时远程支持：工作时段内通过远程手段快速介入；</w:t>
      </w:r>
    </w:p>
    <w:p w14:paraId="7A3AFF48">
      <w:pPr>
        <w:spacing w:line="360" w:lineRule="auto"/>
        <w:ind w:firstLine="480"/>
        <w:rPr>
          <w:rFonts w:hint="eastAsia" w:ascii="仿宋" w:hAnsi="仿宋" w:eastAsia="仿宋" w:cs="宋体"/>
          <w:sz w:val="24"/>
        </w:rPr>
      </w:pPr>
      <w:r>
        <w:rPr>
          <w:rFonts w:hint="eastAsia" w:ascii="仿宋" w:hAnsi="仿宋" w:eastAsia="仿宋" w:cs="宋体"/>
          <w:sz w:val="24"/>
        </w:rPr>
        <w:t>具体执行标准详见相关维护条款。</w:t>
      </w:r>
    </w:p>
    <w:p w14:paraId="50A1EF4C">
      <w:pPr>
        <w:spacing w:line="360" w:lineRule="auto"/>
        <w:ind w:firstLine="480"/>
        <w:rPr>
          <w:rFonts w:hint="eastAsia" w:ascii="仿宋" w:hAnsi="仿宋" w:eastAsia="仿宋" w:cs="宋体"/>
          <w:sz w:val="24"/>
        </w:rPr>
      </w:pPr>
      <w:r>
        <w:rPr>
          <w:rFonts w:hint="eastAsia" w:ascii="仿宋" w:hAnsi="仿宋" w:eastAsia="仿宋" w:cs="宋体"/>
          <w:sz w:val="24"/>
        </w:rPr>
        <w:t>二、服务内容</w:t>
      </w:r>
    </w:p>
    <w:p w14:paraId="6B59648E">
      <w:pPr>
        <w:spacing w:line="360" w:lineRule="auto"/>
        <w:ind w:firstLine="480"/>
        <w:rPr>
          <w:rFonts w:hint="eastAsia" w:ascii="仿宋" w:hAnsi="仿宋" w:eastAsia="仿宋" w:cs="宋体"/>
          <w:sz w:val="24"/>
        </w:rPr>
      </w:pPr>
      <w:r>
        <w:rPr>
          <w:rFonts w:hint="eastAsia" w:ascii="仿宋" w:hAnsi="仿宋" w:eastAsia="仿宋" w:cs="宋体"/>
          <w:sz w:val="24"/>
        </w:rPr>
        <w:t>（一）运行保障：预防性维护与主动监测</w:t>
      </w:r>
    </w:p>
    <w:p w14:paraId="3876E084">
      <w:pPr>
        <w:spacing w:line="360" w:lineRule="auto"/>
        <w:ind w:firstLine="480"/>
        <w:rPr>
          <w:rFonts w:hint="eastAsia" w:ascii="仿宋" w:hAnsi="仿宋" w:eastAsia="仿宋" w:cs="宋体"/>
          <w:sz w:val="24"/>
        </w:rPr>
      </w:pPr>
      <w:r>
        <w:rPr>
          <w:rFonts w:hint="eastAsia" w:ascii="仿宋" w:hAnsi="仿宋" w:eastAsia="仿宋" w:cs="宋体"/>
          <w:sz w:val="24"/>
        </w:rPr>
        <w:t>中标人通过常态化巡检与安全加固，夯实系统稳定运行基础。</w:t>
      </w:r>
    </w:p>
    <w:p w14:paraId="38EC0089">
      <w:pPr>
        <w:spacing w:line="360" w:lineRule="auto"/>
        <w:ind w:firstLine="480"/>
        <w:rPr>
          <w:rFonts w:hint="eastAsia" w:ascii="仿宋" w:hAnsi="仿宋" w:eastAsia="仿宋" w:cs="宋体"/>
          <w:sz w:val="24"/>
        </w:rPr>
      </w:pPr>
      <w:r>
        <w:rPr>
          <w:rFonts w:hint="eastAsia" w:ascii="仿宋" w:hAnsi="仿宋" w:eastAsia="仿宋" w:cs="宋体"/>
          <w:sz w:val="24"/>
        </w:rPr>
        <w:t>1、日常巡检</w:t>
      </w:r>
    </w:p>
    <w:p w14:paraId="652EC37E">
      <w:pPr>
        <w:spacing w:line="360" w:lineRule="auto"/>
        <w:ind w:firstLine="480"/>
        <w:rPr>
          <w:rFonts w:hint="eastAsia" w:ascii="仿宋" w:hAnsi="仿宋" w:eastAsia="仿宋" w:cs="宋体"/>
          <w:sz w:val="24"/>
        </w:rPr>
      </w:pPr>
      <w:r>
        <w:rPr>
          <w:rFonts w:hint="eastAsia" w:ascii="仿宋" w:hAnsi="仿宋" w:eastAsia="仿宋" w:cs="宋体"/>
          <w:sz w:val="24"/>
        </w:rPr>
        <w:t>每日执行一次基础巡检，覆盖应用系统及其运行环境；</w:t>
      </w:r>
    </w:p>
    <w:p w14:paraId="6E770A81">
      <w:pPr>
        <w:spacing w:line="360" w:lineRule="auto"/>
        <w:ind w:firstLine="480"/>
        <w:rPr>
          <w:rFonts w:hint="eastAsia" w:ascii="仿宋" w:hAnsi="仿宋" w:eastAsia="仿宋" w:cs="宋体"/>
          <w:sz w:val="24"/>
        </w:rPr>
      </w:pPr>
      <w:r>
        <w:rPr>
          <w:rFonts w:hint="eastAsia" w:ascii="仿宋" w:hAnsi="仿宋" w:eastAsia="仿宋" w:cs="宋体"/>
          <w:sz w:val="24"/>
        </w:rPr>
        <w:t>动态维护《巡检记录表》，明确巡检对象、步骤、故障判定依据及处理方法；</w:t>
      </w:r>
    </w:p>
    <w:p w14:paraId="2423B569">
      <w:pPr>
        <w:spacing w:line="360" w:lineRule="auto"/>
        <w:ind w:firstLine="480"/>
        <w:rPr>
          <w:rFonts w:hint="eastAsia" w:ascii="仿宋" w:hAnsi="仿宋" w:eastAsia="仿宋" w:cs="宋体"/>
          <w:sz w:val="24"/>
        </w:rPr>
      </w:pPr>
      <w:r>
        <w:rPr>
          <w:rFonts w:hint="eastAsia" w:ascii="仿宋" w:hAnsi="仿宋" w:eastAsia="仿宋" w:cs="宋体"/>
          <w:sz w:val="24"/>
        </w:rPr>
        <w:t>联合基础设施运维团队，对网络、服务器等关键设备开展协同巡检，确保系统“物理可用”。</w:t>
      </w:r>
    </w:p>
    <w:p w14:paraId="2FC5D31C">
      <w:pPr>
        <w:spacing w:line="360" w:lineRule="auto"/>
        <w:ind w:firstLine="480"/>
        <w:rPr>
          <w:rFonts w:hint="eastAsia" w:ascii="仿宋" w:hAnsi="仿宋" w:eastAsia="仿宋" w:cs="宋体"/>
          <w:sz w:val="24"/>
        </w:rPr>
      </w:pPr>
      <w:r>
        <w:rPr>
          <w:rFonts w:hint="eastAsia" w:ascii="仿宋" w:hAnsi="仿宋" w:eastAsia="仿宋" w:cs="宋体"/>
          <w:sz w:val="24"/>
        </w:rPr>
        <w:t>2、安全加固</w:t>
      </w:r>
    </w:p>
    <w:p w14:paraId="59C659C7">
      <w:pPr>
        <w:spacing w:line="360" w:lineRule="auto"/>
        <w:ind w:firstLine="480"/>
        <w:rPr>
          <w:rFonts w:hint="eastAsia" w:ascii="仿宋" w:hAnsi="仿宋" w:eastAsia="仿宋" w:cs="宋体"/>
          <w:sz w:val="24"/>
        </w:rPr>
      </w:pPr>
      <w:r>
        <w:rPr>
          <w:rFonts w:hint="eastAsia" w:ascii="仿宋" w:hAnsi="仿宋" w:eastAsia="仿宋" w:cs="宋体"/>
          <w:sz w:val="24"/>
        </w:rPr>
        <w:t>针对等保测评、专项检查及自查发现的问题，对IT基础支撑系统、业务保障系统等实施安全整改；</w:t>
      </w:r>
    </w:p>
    <w:p w14:paraId="22E1F0F5">
      <w:pPr>
        <w:spacing w:line="360" w:lineRule="auto"/>
        <w:ind w:firstLine="480"/>
        <w:rPr>
          <w:rFonts w:hint="eastAsia" w:ascii="仿宋" w:hAnsi="仿宋" w:eastAsia="仿宋" w:cs="宋体"/>
          <w:sz w:val="24"/>
        </w:rPr>
      </w:pPr>
      <w:r>
        <w:rPr>
          <w:rFonts w:hint="eastAsia" w:ascii="仿宋" w:hAnsi="仿宋" w:eastAsia="仿宋" w:cs="宋体"/>
          <w:sz w:val="24"/>
        </w:rPr>
        <w:t>主要措施包括：服务器安全策略配置、安全补丁更新、用户访问控制、重要数据加密备份、防恶意代码部署等；</w:t>
      </w:r>
    </w:p>
    <w:p w14:paraId="416D39E2">
      <w:pPr>
        <w:spacing w:line="360" w:lineRule="auto"/>
        <w:ind w:firstLine="480"/>
        <w:rPr>
          <w:rFonts w:hint="eastAsia" w:ascii="仿宋" w:hAnsi="仿宋" w:eastAsia="仿宋" w:cs="宋体"/>
          <w:sz w:val="24"/>
        </w:rPr>
      </w:pPr>
      <w:r>
        <w:rPr>
          <w:rFonts w:hint="eastAsia" w:ascii="仿宋" w:hAnsi="仿宋" w:eastAsia="仿宋" w:cs="宋体"/>
          <w:sz w:val="24"/>
        </w:rPr>
        <w:t>与统一安全运维团队协同，确保安全整改任务闭环落实。</w:t>
      </w:r>
    </w:p>
    <w:p w14:paraId="4671F391">
      <w:pPr>
        <w:spacing w:line="360" w:lineRule="auto"/>
        <w:ind w:firstLine="480"/>
        <w:rPr>
          <w:rFonts w:hint="eastAsia" w:ascii="仿宋" w:hAnsi="仿宋" w:eastAsia="仿宋" w:cs="宋体"/>
          <w:sz w:val="24"/>
        </w:rPr>
      </w:pPr>
      <w:r>
        <w:rPr>
          <w:rFonts w:hint="eastAsia" w:ascii="仿宋" w:hAnsi="仿宋" w:eastAsia="仿宋" w:cs="宋体"/>
          <w:sz w:val="24"/>
        </w:rPr>
        <w:t>（二）故障应急：快速响应与闭环处置</w:t>
      </w:r>
    </w:p>
    <w:p w14:paraId="072CD7F5">
      <w:pPr>
        <w:spacing w:line="360" w:lineRule="auto"/>
        <w:ind w:firstLine="480"/>
        <w:rPr>
          <w:rFonts w:hint="eastAsia" w:ascii="仿宋" w:hAnsi="仿宋" w:eastAsia="仿宋" w:cs="宋体"/>
          <w:sz w:val="24"/>
        </w:rPr>
      </w:pPr>
      <w:r>
        <w:rPr>
          <w:rFonts w:hint="eastAsia" w:ascii="仿宋" w:hAnsi="仿宋" w:eastAsia="仿宋" w:cs="宋体"/>
          <w:sz w:val="24"/>
        </w:rPr>
        <w:t>一旦系统出现异常，中标人须迅速响应、有效处置并完成根因分析。</w:t>
      </w:r>
    </w:p>
    <w:p w14:paraId="738CD871">
      <w:pPr>
        <w:spacing w:line="360" w:lineRule="auto"/>
        <w:ind w:firstLine="480"/>
        <w:rPr>
          <w:rFonts w:hint="eastAsia" w:ascii="仿宋" w:hAnsi="仿宋" w:eastAsia="仿宋" w:cs="宋体"/>
          <w:sz w:val="24"/>
        </w:rPr>
      </w:pPr>
      <w:r>
        <w:rPr>
          <w:rFonts w:hint="eastAsia" w:ascii="仿宋" w:hAnsi="仿宋" w:eastAsia="仿宋" w:cs="宋体"/>
          <w:sz w:val="24"/>
        </w:rPr>
        <w:t>1、预警与接报</w:t>
      </w:r>
    </w:p>
    <w:p w14:paraId="05BDE9DE">
      <w:pPr>
        <w:spacing w:line="360" w:lineRule="auto"/>
        <w:ind w:firstLine="480"/>
        <w:rPr>
          <w:rFonts w:hint="eastAsia" w:ascii="仿宋" w:hAnsi="仿宋" w:eastAsia="仿宋" w:cs="宋体"/>
          <w:sz w:val="24"/>
        </w:rPr>
      </w:pPr>
      <w:r>
        <w:rPr>
          <w:rFonts w:hint="eastAsia" w:ascii="仿宋" w:hAnsi="仿宋" w:eastAsia="仿宋" w:cs="宋体"/>
          <w:sz w:val="24"/>
        </w:rPr>
        <w:t>发现异常立即上报系统管理员；</w:t>
      </w:r>
    </w:p>
    <w:p w14:paraId="63F02B35">
      <w:pPr>
        <w:spacing w:line="360" w:lineRule="auto"/>
        <w:ind w:firstLine="480"/>
        <w:rPr>
          <w:rFonts w:hint="eastAsia" w:ascii="仿宋" w:hAnsi="仿宋" w:eastAsia="仿宋" w:cs="宋体"/>
          <w:sz w:val="24"/>
        </w:rPr>
      </w:pPr>
      <w:r>
        <w:rPr>
          <w:rFonts w:hint="eastAsia" w:ascii="仿宋" w:hAnsi="仿宋" w:eastAsia="仿宋" w:cs="宋体"/>
          <w:sz w:val="24"/>
        </w:rPr>
        <w:t>提供100%用户接障响应（含热线支持，必要时启动现场服务）。</w:t>
      </w:r>
    </w:p>
    <w:p w14:paraId="7C3373FB">
      <w:pPr>
        <w:spacing w:line="360" w:lineRule="auto"/>
        <w:ind w:firstLine="480"/>
        <w:rPr>
          <w:rFonts w:hint="eastAsia" w:ascii="仿宋" w:hAnsi="仿宋" w:eastAsia="仿宋" w:cs="宋体"/>
          <w:sz w:val="24"/>
        </w:rPr>
      </w:pPr>
      <w:r>
        <w:rPr>
          <w:rFonts w:hint="eastAsia" w:ascii="仿宋" w:hAnsi="仿宋" w:eastAsia="仿宋" w:cs="宋体"/>
          <w:sz w:val="24"/>
        </w:rPr>
        <w:t>2、应急处置</w:t>
      </w:r>
    </w:p>
    <w:p w14:paraId="0A0FDCB0">
      <w:pPr>
        <w:spacing w:line="360" w:lineRule="auto"/>
        <w:ind w:firstLine="480"/>
        <w:rPr>
          <w:rFonts w:hint="eastAsia" w:ascii="仿宋" w:hAnsi="仿宋" w:eastAsia="仿宋" w:cs="宋体"/>
          <w:sz w:val="24"/>
        </w:rPr>
      </w:pPr>
      <w:r>
        <w:rPr>
          <w:rFonts w:hint="eastAsia" w:ascii="仿宋" w:hAnsi="仿宋" w:eastAsia="仿宋" w:cs="宋体"/>
          <w:sz w:val="24"/>
        </w:rPr>
        <w:t>遵循“先恢复业务、后根因分析”原则，最大限度减少业务中断；</w:t>
      </w:r>
    </w:p>
    <w:p w14:paraId="4419F027">
      <w:pPr>
        <w:spacing w:line="360" w:lineRule="auto"/>
        <w:ind w:firstLine="480"/>
        <w:rPr>
          <w:rFonts w:hint="eastAsia" w:ascii="仿宋" w:hAnsi="仿宋" w:eastAsia="仿宋" w:cs="宋体"/>
          <w:sz w:val="24"/>
        </w:rPr>
      </w:pPr>
      <w:r>
        <w:rPr>
          <w:rFonts w:hint="eastAsia" w:ascii="仿宋" w:hAnsi="仿宋" w:eastAsia="仿宋" w:cs="宋体"/>
          <w:sz w:val="24"/>
        </w:rPr>
        <w:t>现场服务响应时间严格按合同约定执行。</w:t>
      </w:r>
    </w:p>
    <w:p w14:paraId="58E7EDB6">
      <w:pPr>
        <w:spacing w:line="360" w:lineRule="auto"/>
        <w:ind w:firstLine="480"/>
        <w:rPr>
          <w:rFonts w:hint="eastAsia" w:ascii="仿宋" w:hAnsi="仿宋" w:eastAsia="仿宋" w:cs="宋体"/>
          <w:sz w:val="24"/>
        </w:rPr>
      </w:pPr>
      <w:r>
        <w:rPr>
          <w:rFonts w:hint="eastAsia" w:ascii="仿宋" w:hAnsi="仿宋" w:eastAsia="仿宋" w:cs="宋体"/>
          <w:sz w:val="24"/>
        </w:rPr>
        <w:t>3、闭环管理</w:t>
      </w:r>
    </w:p>
    <w:p w14:paraId="318B09D5">
      <w:pPr>
        <w:spacing w:line="360" w:lineRule="auto"/>
        <w:ind w:firstLine="480"/>
        <w:rPr>
          <w:rFonts w:hint="eastAsia" w:ascii="仿宋" w:hAnsi="仿宋" w:eastAsia="仿宋" w:cs="宋体"/>
          <w:sz w:val="24"/>
        </w:rPr>
      </w:pPr>
      <w:r>
        <w:rPr>
          <w:rFonts w:hint="eastAsia" w:ascii="仿宋" w:hAnsi="仿宋" w:eastAsia="仿宋" w:cs="宋体"/>
          <w:sz w:val="24"/>
        </w:rPr>
        <w:t>故障解决后提交故障报告，内容涵盖：现象、影响范围、处理过程、原因分析、应急方案及最终解决措施；</w:t>
      </w:r>
    </w:p>
    <w:p w14:paraId="5FF5F831">
      <w:pPr>
        <w:spacing w:line="360" w:lineRule="auto"/>
        <w:ind w:firstLine="480"/>
        <w:rPr>
          <w:rFonts w:hint="eastAsia" w:ascii="仿宋" w:hAnsi="仿宋" w:eastAsia="仿宋" w:cs="宋体"/>
          <w:sz w:val="24"/>
        </w:rPr>
      </w:pPr>
      <w:r>
        <w:rPr>
          <w:rFonts w:hint="eastAsia" w:ascii="仿宋" w:hAnsi="仿宋" w:eastAsia="仿宋" w:cs="宋体"/>
          <w:sz w:val="24"/>
        </w:rPr>
        <w:t>对重大或复杂故障，若无法自主解决，须主动协调专家或高级技术人员介入，直至问题彻底闭环；</w:t>
      </w:r>
    </w:p>
    <w:p w14:paraId="74233733">
      <w:pPr>
        <w:spacing w:line="360" w:lineRule="auto"/>
        <w:ind w:firstLine="480"/>
        <w:rPr>
          <w:rFonts w:hint="eastAsia" w:ascii="仿宋" w:hAnsi="仿宋" w:eastAsia="仿宋" w:cs="宋体"/>
          <w:sz w:val="24"/>
        </w:rPr>
      </w:pPr>
      <w:r>
        <w:rPr>
          <w:rFonts w:hint="eastAsia" w:ascii="仿宋" w:hAnsi="仿宋" w:eastAsia="仿宋" w:cs="宋体"/>
          <w:sz w:val="24"/>
        </w:rPr>
        <w:t>定期汇总故障案例，形成分析简报并提出改进建议。</w:t>
      </w:r>
    </w:p>
    <w:p w14:paraId="325E01F9">
      <w:pPr>
        <w:spacing w:line="360" w:lineRule="auto"/>
        <w:ind w:firstLine="480"/>
        <w:rPr>
          <w:rFonts w:hint="eastAsia" w:ascii="仿宋" w:hAnsi="仿宋" w:eastAsia="仿宋" w:cs="宋体"/>
          <w:sz w:val="24"/>
        </w:rPr>
      </w:pPr>
      <w:r>
        <w:rPr>
          <w:rFonts w:hint="eastAsia" w:ascii="仿宋" w:hAnsi="仿宋" w:eastAsia="仿宋" w:cs="宋体"/>
          <w:sz w:val="24"/>
        </w:rPr>
        <w:t>（三）持续优化：数据驱动的系统演进</w:t>
      </w:r>
    </w:p>
    <w:p w14:paraId="17AC196B">
      <w:pPr>
        <w:spacing w:line="360" w:lineRule="auto"/>
        <w:ind w:firstLine="480"/>
        <w:rPr>
          <w:rFonts w:hint="eastAsia" w:ascii="仿宋" w:hAnsi="仿宋" w:eastAsia="仿宋" w:cs="宋体"/>
          <w:sz w:val="24"/>
        </w:rPr>
      </w:pPr>
      <w:r>
        <w:rPr>
          <w:rFonts w:hint="eastAsia" w:ascii="仿宋" w:hAnsi="仿宋" w:eastAsia="仿宋" w:cs="宋体"/>
          <w:sz w:val="24"/>
        </w:rPr>
        <w:t>在保障稳定运行基础上，中标人通过分析与维保推动系统持续优化。</w:t>
      </w:r>
    </w:p>
    <w:p w14:paraId="14DBAE94">
      <w:pPr>
        <w:spacing w:line="360" w:lineRule="auto"/>
        <w:ind w:firstLine="480"/>
        <w:rPr>
          <w:rFonts w:hint="eastAsia" w:ascii="仿宋" w:hAnsi="仿宋" w:eastAsia="仿宋" w:cs="宋体"/>
          <w:sz w:val="24"/>
        </w:rPr>
      </w:pPr>
      <w:r>
        <w:rPr>
          <w:rFonts w:hint="eastAsia" w:ascii="仿宋" w:hAnsi="仿宋" w:eastAsia="仿宋" w:cs="宋体"/>
          <w:sz w:val="24"/>
        </w:rPr>
        <w:t>1、日志与错误分析</w:t>
      </w:r>
    </w:p>
    <w:p w14:paraId="255907CF">
      <w:pPr>
        <w:spacing w:line="360" w:lineRule="auto"/>
        <w:ind w:firstLine="480"/>
        <w:rPr>
          <w:rFonts w:hint="eastAsia" w:ascii="仿宋" w:hAnsi="仿宋" w:eastAsia="仿宋" w:cs="宋体"/>
          <w:sz w:val="24"/>
        </w:rPr>
      </w:pPr>
      <w:r>
        <w:rPr>
          <w:rFonts w:hint="eastAsia" w:ascii="仿宋" w:hAnsi="仿宋" w:eastAsia="仿宋" w:cs="宋体"/>
          <w:sz w:val="24"/>
        </w:rPr>
        <w:t>每日分析主机、操作系统、中间件、数据库、网络等组件日志，识别潜在风险；</w:t>
      </w:r>
    </w:p>
    <w:p w14:paraId="711E0810">
      <w:pPr>
        <w:spacing w:line="360" w:lineRule="auto"/>
        <w:ind w:firstLine="480"/>
        <w:rPr>
          <w:rFonts w:hint="eastAsia" w:ascii="仿宋" w:hAnsi="仿宋" w:eastAsia="仿宋" w:cs="宋体"/>
          <w:sz w:val="24"/>
        </w:rPr>
      </w:pPr>
      <w:r>
        <w:rPr>
          <w:rFonts w:hint="eastAsia" w:ascii="仿宋" w:hAnsi="仿宋" w:eastAsia="仿宋" w:cs="宋体"/>
          <w:sz w:val="24"/>
        </w:rPr>
        <w:t>定期开展错误统计与归因分析，对服务端、客户端及数据异常提出预警与优化建议。</w:t>
      </w:r>
    </w:p>
    <w:p w14:paraId="6B4DE42B">
      <w:pPr>
        <w:spacing w:line="360" w:lineRule="auto"/>
        <w:ind w:firstLine="480"/>
        <w:rPr>
          <w:rFonts w:hint="eastAsia" w:ascii="仿宋" w:hAnsi="仿宋" w:eastAsia="仿宋" w:cs="宋体"/>
          <w:sz w:val="24"/>
        </w:rPr>
      </w:pPr>
      <w:r>
        <w:rPr>
          <w:rFonts w:ascii="仿宋" w:hAnsi="仿宋" w:eastAsia="仿宋" w:cs="宋体"/>
          <w:sz w:val="24"/>
        </w:rPr>
        <w:t>2、</w:t>
      </w:r>
      <w:r>
        <w:rPr>
          <w:rFonts w:hint="eastAsia" w:ascii="仿宋" w:hAnsi="仿宋" w:eastAsia="仿宋" w:cs="宋体"/>
          <w:sz w:val="24"/>
        </w:rPr>
        <w:t>技术文档与配置管理</w:t>
      </w:r>
    </w:p>
    <w:p w14:paraId="24C1F9B2">
      <w:pPr>
        <w:spacing w:line="360" w:lineRule="auto"/>
        <w:ind w:firstLine="480"/>
        <w:rPr>
          <w:rFonts w:hint="eastAsia" w:ascii="仿宋" w:hAnsi="仿宋" w:eastAsia="仿宋" w:cs="宋体"/>
          <w:sz w:val="24"/>
        </w:rPr>
      </w:pPr>
      <w:r>
        <w:rPr>
          <w:rFonts w:hint="eastAsia" w:ascii="仿宋" w:hAnsi="仿宋" w:eastAsia="仿宋" w:cs="宋体"/>
          <w:sz w:val="24"/>
        </w:rPr>
        <w:t>建立完整软件技术档案，包括系统/应用/数据库版本、补丁信息、用户权限、网络存储配置、脚本及部署架构等。</w:t>
      </w:r>
    </w:p>
    <w:p w14:paraId="44B9EEAA">
      <w:pPr>
        <w:spacing w:line="360" w:lineRule="auto"/>
        <w:ind w:firstLine="480"/>
        <w:rPr>
          <w:rFonts w:hint="eastAsia" w:ascii="仿宋" w:hAnsi="仿宋" w:eastAsia="仿宋" w:cs="宋体"/>
          <w:sz w:val="24"/>
        </w:rPr>
      </w:pPr>
      <w:r>
        <w:rPr>
          <w:rFonts w:hint="eastAsia" w:ascii="仿宋" w:hAnsi="仿宋" w:eastAsia="仿宋" w:cs="宋体"/>
          <w:sz w:val="24"/>
        </w:rPr>
        <w:t>3、备份与系统演进支持</w:t>
      </w:r>
    </w:p>
    <w:p w14:paraId="7EA3CB92">
      <w:pPr>
        <w:spacing w:line="360" w:lineRule="auto"/>
        <w:ind w:firstLine="480"/>
        <w:rPr>
          <w:rFonts w:hint="eastAsia" w:ascii="仿宋" w:hAnsi="仿宋" w:eastAsia="仿宋" w:cs="宋体"/>
          <w:sz w:val="24"/>
        </w:rPr>
      </w:pPr>
      <w:r>
        <w:rPr>
          <w:rFonts w:hint="eastAsia" w:ascii="仿宋" w:hAnsi="仿宋" w:eastAsia="仿宋" w:cs="宋体"/>
          <w:sz w:val="24"/>
        </w:rPr>
        <w:t>定期执行全量与增量备份，覆盖软件系统、业务数据及逻辑卷配置；</w:t>
      </w:r>
    </w:p>
    <w:p w14:paraId="65F5F95E">
      <w:pPr>
        <w:spacing w:line="360" w:lineRule="auto"/>
        <w:ind w:firstLine="480"/>
        <w:rPr>
          <w:rFonts w:hint="eastAsia" w:ascii="仿宋" w:hAnsi="仿宋" w:eastAsia="仿宋" w:cs="宋体"/>
          <w:sz w:val="24"/>
        </w:rPr>
      </w:pPr>
      <w:r>
        <w:rPr>
          <w:rFonts w:hint="eastAsia" w:ascii="仿宋" w:hAnsi="仿宋" w:eastAsia="仿宋" w:cs="宋体"/>
          <w:sz w:val="24"/>
        </w:rPr>
        <w:t>提供系统升级、扩容、迁移、高可用架构（如数据库HA）等技术方案与实施支持；</w:t>
      </w:r>
    </w:p>
    <w:p w14:paraId="701FA66E">
      <w:pPr>
        <w:spacing w:line="360" w:lineRule="auto"/>
        <w:ind w:firstLine="480"/>
        <w:rPr>
          <w:rFonts w:hint="eastAsia" w:ascii="仿宋" w:hAnsi="仿宋" w:eastAsia="仿宋" w:cs="宋体"/>
          <w:sz w:val="24"/>
        </w:rPr>
      </w:pPr>
      <w:r>
        <w:rPr>
          <w:rFonts w:hint="eastAsia" w:ascii="仿宋" w:hAnsi="仿宋" w:eastAsia="仿宋" w:cs="宋体"/>
          <w:sz w:val="24"/>
        </w:rPr>
        <w:t>按月、季提交《系统维护报告》，全面反映运行状态、问题处理进展及优化方向。</w:t>
      </w:r>
    </w:p>
    <w:p w14:paraId="05B38244">
      <w:pPr>
        <w:spacing w:line="360" w:lineRule="auto"/>
        <w:ind w:firstLine="480"/>
        <w:rPr>
          <w:rFonts w:hint="eastAsia" w:ascii="仿宋" w:hAnsi="仿宋" w:eastAsia="仿宋" w:cs="宋体"/>
          <w:sz w:val="24"/>
        </w:rPr>
      </w:pPr>
      <w:r>
        <w:rPr>
          <w:rFonts w:hint="eastAsia" w:ascii="仿宋" w:hAnsi="仿宋" w:eastAsia="仿宋" w:cs="宋体"/>
          <w:sz w:val="24"/>
        </w:rPr>
        <w:t>4、跨团队协同</w:t>
      </w:r>
    </w:p>
    <w:p w14:paraId="6A736FBB">
      <w:pPr>
        <w:spacing w:line="360" w:lineRule="auto"/>
        <w:ind w:firstLine="480"/>
        <w:rPr>
          <w:rFonts w:hint="eastAsia" w:ascii="仿宋" w:hAnsi="仿宋" w:eastAsia="仿宋" w:cs="宋体"/>
          <w:sz w:val="24"/>
        </w:rPr>
      </w:pPr>
      <w:r>
        <w:rPr>
          <w:rFonts w:hint="eastAsia" w:ascii="仿宋" w:hAnsi="仿宋" w:eastAsia="仿宋" w:cs="宋体"/>
          <w:sz w:val="24"/>
        </w:rPr>
        <w:t>对需网络、主机等其他运维方配合事项，提出明确需求，经用户审核后推动协同解决。</w:t>
      </w:r>
    </w:p>
    <w:p w14:paraId="7D93F569">
      <w:pPr>
        <w:spacing w:line="360" w:lineRule="auto"/>
        <w:ind w:firstLine="480"/>
        <w:rPr>
          <w:rFonts w:hint="eastAsia" w:ascii="仿宋" w:hAnsi="仿宋" w:eastAsia="仿宋" w:cs="宋体"/>
          <w:sz w:val="24"/>
        </w:rPr>
      </w:pPr>
      <w:r>
        <w:rPr>
          <w:rFonts w:hint="eastAsia" w:ascii="仿宋" w:hAnsi="仿宋" w:eastAsia="仿宋" w:cs="宋体"/>
          <w:sz w:val="24"/>
        </w:rPr>
        <w:t>（四）应急演练</w:t>
      </w:r>
    </w:p>
    <w:p w14:paraId="56CEFEF8">
      <w:pPr>
        <w:spacing w:line="360" w:lineRule="auto"/>
        <w:ind w:firstLine="480"/>
        <w:rPr>
          <w:rFonts w:hint="eastAsia" w:ascii="仿宋" w:hAnsi="仿宋" w:eastAsia="仿宋" w:cs="宋体"/>
          <w:sz w:val="24"/>
        </w:rPr>
      </w:pPr>
      <w:r>
        <w:rPr>
          <w:rFonts w:hint="eastAsia" w:ascii="仿宋" w:hAnsi="仿宋" w:eastAsia="仿宋" w:cs="宋体"/>
          <w:sz w:val="24"/>
        </w:rPr>
        <w:t>服务期内至少组织1次全要素综合演练，覆盖基础设施故障、网络中断、数据丢失、安全攻击等典型应急场景；演练结束后提交《应急演练评估报告》，包含：场景还原度分析、响应时效统计、流程缺陷说明及改进计划；针对演练暴露的薄弱环节，进行重点整改。</w:t>
      </w:r>
    </w:p>
    <w:p w14:paraId="4F59ABD0">
      <w:pPr>
        <w:spacing w:line="360" w:lineRule="auto"/>
        <w:ind w:firstLine="480"/>
        <w:rPr>
          <w:rFonts w:hint="eastAsia" w:ascii="仿宋" w:hAnsi="仿宋" w:eastAsia="仿宋" w:cs="宋体"/>
          <w:sz w:val="24"/>
        </w:rPr>
      </w:pPr>
      <w:r>
        <w:rPr>
          <w:rFonts w:ascii="仿宋" w:hAnsi="仿宋" w:eastAsia="仿宋" w:cs="宋体"/>
          <w:sz w:val="24"/>
        </w:rPr>
        <w:t>（五）</w:t>
      </w:r>
      <w:r>
        <w:rPr>
          <w:rFonts w:hint="eastAsia" w:ascii="仿宋" w:hAnsi="仿宋" w:eastAsia="仿宋" w:cs="宋体"/>
          <w:sz w:val="24"/>
        </w:rPr>
        <w:t>能力协同：知识传递与制度保障</w:t>
      </w:r>
    </w:p>
    <w:p w14:paraId="64517205">
      <w:pPr>
        <w:spacing w:line="360" w:lineRule="auto"/>
        <w:ind w:firstLine="480"/>
        <w:rPr>
          <w:rFonts w:hint="eastAsia" w:ascii="仿宋" w:hAnsi="仿宋" w:eastAsia="仿宋" w:cs="宋体"/>
          <w:sz w:val="24"/>
        </w:rPr>
      </w:pPr>
      <w:r>
        <w:rPr>
          <w:rFonts w:hint="eastAsia" w:ascii="仿宋" w:hAnsi="仿宋" w:eastAsia="仿宋" w:cs="宋体"/>
          <w:sz w:val="24"/>
        </w:rPr>
        <w:t>为提升整体运维效能，中标人同步开展能力建设与制度完善。</w:t>
      </w:r>
    </w:p>
    <w:p w14:paraId="23DBB9AD">
      <w:pPr>
        <w:spacing w:line="360" w:lineRule="auto"/>
        <w:ind w:firstLine="480"/>
        <w:rPr>
          <w:rFonts w:hint="eastAsia" w:ascii="仿宋" w:hAnsi="仿宋" w:eastAsia="仿宋" w:cs="宋体"/>
          <w:sz w:val="24"/>
        </w:rPr>
      </w:pPr>
      <w:r>
        <w:rPr>
          <w:rFonts w:hint="eastAsia" w:ascii="仿宋" w:hAnsi="仿宋" w:eastAsia="仿宋" w:cs="宋体"/>
          <w:sz w:val="24"/>
        </w:rPr>
        <w:t>1、技术咨询</w:t>
      </w:r>
    </w:p>
    <w:p w14:paraId="732BDF55">
      <w:pPr>
        <w:spacing w:line="360" w:lineRule="auto"/>
        <w:ind w:firstLine="480"/>
        <w:rPr>
          <w:rFonts w:hint="eastAsia" w:ascii="仿宋" w:hAnsi="仿宋" w:eastAsia="仿宋" w:cs="宋体"/>
          <w:sz w:val="24"/>
        </w:rPr>
      </w:pPr>
      <w:r>
        <w:rPr>
          <w:rFonts w:hint="eastAsia" w:ascii="仿宋" w:hAnsi="仿宋" w:eastAsia="仿宋" w:cs="宋体"/>
          <w:sz w:val="24"/>
        </w:rPr>
        <w:t>提供系统软件、数据库等全栈技术咨询与维护支持。</w:t>
      </w:r>
    </w:p>
    <w:p w14:paraId="6246CFAD">
      <w:pPr>
        <w:spacing w:line="360" w:lineRule="auto"/>
        <w:ind w:firstLine="480"/>
        <w:rPr>
          <w:rFonts w:hint="eastAsia" w:ascii="仿宋" w:hAnsi="仿宋" w:eastAsia="仿宋" w:cs="宋体"/>
          <w:sz w:val="24"/>
        </w:rPr>
      </w:pPr>
      <w:r>
        <w:rPr>
          <w:rFonts w:hint="eastAsia" w:ascii="仿宋" w:hAnsi="仿宋" w:eastAsia="仿宋" w:cs="宋体"/>
          <w:sz w:val="24"/>
        </w:rPr>
        <w:t>2、人员赋能</w:t>
      </w:r>
    </w:p>
    <w:p w14:paraId="41A9D745">
      <w:pPr>
        <w:spacing w:line="360" w:lineRule="auto"/>
        <w:ind w:firstLine="480"/>
        <w:rPr>
          <w:rFonts w:hint="eastAsia" w:ascii="仿宋" w:hAnsi="仿宋" w:eastAsia="仿宋" w:cs="宋体"/>
          <w:sz w:val="24"/>
        </w:rPr>
      </w:pPr>
      <w:r>
        <w:rPr>
          <w:rFonts w:hint="eastAsia" w:ascii="仿宋" w:hAnsi="仿宋" w:eastAsia="仿宋" w:cs="宋体"/>
          <w:sz w:val="24"/>
        </w:rPr>
        <w:t>定期对相关人员开展实操培训，内容包括常见故障排查、性能监控与调优等；</w:t>
      </w:r>
    </w:p>
    <w:p w14:paraId="3D8913A1">
      <w:pPr>
        <w:spacing w:line="360" w:lineRule="auto"/>
        <w:ind w:firstLine="480"/>
        <w:rPr>
          <w:rFonts w:hint="eastAsia" w:ascii="仿宋" w:hAnsi="仿宋" w:eastAsia="仿宋" w:cs="宋体"/>
          <w:sz w:val="24"/>
        </w:rPr>
      </w:pPr>
      <w:r>
        <w:rPr>
          <w:rFonts w:hint="eastAsia" w:ascii="仿宋" w:hAnsi="仿宋" w:eastAsia="仿宋" w:cs="宋体"/>
          <w:sz w:val="24"/>
        </w:rPr>
        <w:t>组织常态化技术交流，促进运维经验共享与能力共建。</w:t>
      </w:r>
    </w:p>
    <w:p w14:paraId="24C7705F">
      <w:pPr>
        <w:spacing w:line="360" w:lineRule="auto"/>
        <w:ind w:firstLine="480"/>
        <w:rPr>
          <w:rFonts w:hint="eastAsia" w:ascii="仿宋" w:hAnsi="仿宋" w:eastAsia="仿宋" w:cs="宋体"/>
          <w:sz w:val="24"/>
        </w:rPr>
      </w:pPr>
      <w:r>
        <w:rPr>
          <w:rFonts w:hint="eastAsia" w:ascii="仿宋" w:hAnsi="仿宋" w:eastAsia="仿宋" w:cs="宋体"/>
          <w:sz w:val="24"/>
        </w:rPr>
        <w:t>3、制度建设</w:t>
      </w:r>
    </w:p>
    <w:p w14:paraId="664B92D0">
      <w:pPr>
        <w:spacing w:line="360" w:lineRule="auto"/>
        <w:ind w:firstLine="480"/>
        <w:rPr>
          <w:rFonts w:hint="eastAsia" w:ascii="仿宋" w:hAnsi="仿宋" w:eastAsia="仿宋" w:cs="宋体"/>
          <w:sz w:val="24"/>
        </w:rPr>
      </w:pPr>
      <w:r>
        <w:rPr>
          <w:rFonts w:hint="eastAsia" w:ascii="仿宋" w:hAnsi="仿宋" w:eastAsia="仿宋" w:cs="宋体"/>
          <w:sz w:val="24"/>
        </w:rPr>
        <w:t>建立并持续优化系统维护管理制度，实现运维工作标准化、流程化、可追溯。</w:t>
      </w:r>
    </w:p>
    <w:p w14:paraId="4B5538AB">
      <w:pPr>
        <w:pStyle w:val="5"/>
        <w:rPr>
          <w:rFonts w:hint="eastAsia" w:ascii="仿宋" w:hAnsi="仿宋" w:eastAsia="仿宋" w:cs="宋体"/>
          <w:sz w:val="24"/>
        </w:rPr>
      </w:pPr>
      <w:r>
        <w:rPr>
          <w:rFonts w:hint="eastAsia" w:ascii="仿宋" w:hAnsi="仿宋" w:eastAsia="仿宋" w:cs="宋体"/>
          <w:sz w:val="24"/>
        </w:rPr>
        <w:t>应用类系统故障响应要求</w:t>
      </w:r>
    </w:p>
    <w:p w14:paraId="087AF93C">
      <w:pPr>
        <w:spacing w:line="360" w:lineRule="auto"/>
        <w:ind w:firstLine="480"/>
        <w:rPr>
          <w:rFonts w:hint="eastAsia" w:ascii="仿宋" w:hAnsi="仿宋" w:eastAsia="仿宋" w:cs="宋体"/>
          <w:sz w:val="24"/>
        </w:rPr>
      </w:pPr>
      <w:r>
        <w:rPr>
          <w:rFonts w:ascii="仿宋" w:hAnsi="仿宋" w:eastAsia="仿宋" w:cs="宋体"/>
          <w:sz w:val="24"/>
        </w:rPr>
        <w:t>1</w:t>
      </w:r>
      <w:r>
        <w:rPr>
          <w:rFonts w:hint="eastAsia" w:ascii="仿宋" w:hAnsi="仿宋" w:eastAsia="仿宋" w:cs="宋体"/>
          <w:sz w:val="24"/>
        </w:rPr>
        <w:t>、根据故障紧急程度将故障划分为三种类型：</w:t>
      </w:r>
    </w:p>
    <w:tbl>
      <w:tblPr>
        <w:tblStyle w:val="10"/>
        <w:tblW w:w="40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1277"/>
        <w:gridCol w:w="5703"/>
      </w:tblGrid>
      <w:tr w14:paraId="3B0E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1277" w:type="dxa"/>
            <w:shd w:val="clear" w:color="auto" w:fill="FFFFFF"/>
            <w:vAlign w:val="center"/>
          </w:tcPr>
          <w:p w14:paraId="41D706ED">
            <w:pPr>
              <w:jc w:val="center"/>
              <w:rPr>
                <w:rFonts w:hint="eastAsia" w:ascii="仿宋" w:hAnsi="仿宋" w:eastAsia="仿宋"/>
                <w:b/>
              </w:rPr>
            </w:pPr>
            <w:r>
              <w:rPr>
                <w:rFonts w:hint="eastAsia" w:ascii="仿宋" w:hAnsi="仿宋" w:eastAsia="仿宋"/>
                <w:b/>
              </w:rPr>
              <w:t>故障等级</w:t>
            </w:r>
          </w:p>
        </w:tc>
        <w:tc>
          <w:tcPr>
            <w:tcW w:w="5704" w:type="dxa"/>
            <w:shd w:val="clear" w:color="auto" w:fill="FFFFFF"/>
            <w:vAlign w:val="center"/>
          </w:tcPr>
          <w:p w14:paraId="6E93FBC2">
            <w:pPr>
              <w:jc w:val="center"/>
              <w:rPr>
                <w:rFonts w:hint="eastAsia" w:ascii="仿宋" w:hAnsi="仿宋" w:eastAsia="仿宋"/>
                <w:b/>
              </w:rPr>
            </w:pPr>
            <w:r>
              <w:rPr>
                <w:rFonts w:hint="eastAsia" w:ascii="仿宋" w:hAnsi="仿宋" w:eastAsia="仿宋"/>
                <w:b/>
              </w:rPr>
              <w:t>故障定义</w:t>
            </w:r>
          </w:p>
        </w:tc>
      </w:tr>
      <w:tr w14:paraId="1A92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10" w:hRule="atLeast"/>
          <w:jc w:val="center"/>
        </w:trPr>
        <w:tc>
          <w:tcPr>
            <w:tcW w:w="1277" w:type="dxa"/>
            <w:shd w:val="clear" w:color="auto" w:fill="FFFFFF"/>
            <w:vAlign w:val="center"/>
          </w:tcPr>
          <w:p w14:paraId="376E3230">
            <w:pPr>
              <w:jc w:val="center"/>
              <w:rPr>
                <w:rFonts w:hint="eastAsia" w:ascii="仿宋" w:hAnsi="仿宋" w:eastAsia="仿宋"/>
              </w:rPr>
            </w:pPr>
            <w:r>
              <w:rPr>
                <w:rFonts w:hint="eastAsia" w:ascii="仿宋" w:hAnsi="仿宋" w:eastAsia="仿宋"/>
              </w:rPr>
              <w:t>紧急</w:t>
            </w:r>
          </w:p>
        </w:tc>
        <w:tc>
          <w:tcPr>
            <w:tcW w:w="5704" w:type="dxa"/>
            <w:shd w:val="clear" w:color="auto" w:fill="FFFFFF"/>
            <w:vAlign w:val="center"/>
          </w:tcPr>
          <w:p w14:paraId="04D5A27E">
            <w:pPr>
              <w:rPr>
                <w:rFonts w:hint="eastAsia" w:ascii="仿宋" w:hAnsi="仿宋" w:eastAsia="仿宋"/>
              </w:rPr>
            </w:pPr>
            <w:r>
              <w:rPr>
                <w:rFonts w:hint="eastAsia" w:ascii="仿宋" w:hAnsi="仿宋" w:eastAsia="仿宋"/>
              </w:rPr>
              <w:t>软件系统崩溃或瘫痪</w:t>
            </w:r>
          </w:p>
        </w:tc>
      </w:tr>
      <w:tr w14:paraId="0480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277" w:type="dxa"/>
            <w:shd w:val="clear" w:color="auto" w:fill="FFFFFF"/>
            <w:vAlign w:val="center"/>
          </w:tcPr>
          <w:p w14:paraId="3821E609">
            <w:pPr>
              <w:jc w:val="center"/>
              <w:rPr>
                <w:rFonts w:hint="eastAsia" w:ascii="仿宋" w:hAnsi="仿宋" w:eastAsia="仿宋"/>
              </w:rPr>
            </w:pPr>
            <w:r>
              <w:rPr>
                <w:rFonts w:hint="eastAsia" w:ascii="仿宋" w:hAnsi="仿宋" w:eastAsia="仿宋"/>
              </w:rPr>
              <w:t>严重</w:t>
            </w:r>
          </w:p>
        </w:tc>
        <w:tc>
          <w:tcPr>
            <w:tcW w:w="5704" w:type="dxa"/>
            <w:shd w:val="clear" w:color="auto" w:fill="FFFFFF"/>
            <w:vAlign w:val="center"/>
          </w:tcPr>
          <w:p w14:paraId="5782887C">
            <w:pPr>
              <w:rPr>
                <w:rFonts w:hint="eastAsia" w:ascii="仿宋" w:hAnsi="仿宋" w:eastAsia="仿宋"/>
              </w:rPr>
            </w:pPr>
            <w:r>
              <w:rPr>
                <w:rFonts w:hint="eastAsia" w:ascii="仿宋" w:hAnsi="仿宋" w:eastAsia="仿宋"/>
              </w:rPr>
              <w:t>1.软件系统性能严重下降，影响业务的开展；</w:t>
            </w:r>
          </w:p>
          <w:p w14:paraId="177B2FFD">
            <w:pPr>
              <w:rPr>
                <w:rFonts w:hint="eastAsia" w:ascii="仿宋" w:hAnsi="仿宋" w:eastAsia="仿宋"/>
              </w:rPr>
            </w:pPr>
            <w:r>
              <w:rPr>
                <w:rFonts w:hint="eastAsia" w:ascii="仿宋" w:hAnsi="仿宋" w:eastAsia="仿宋"/>
              </w:rPr>
              <w:t>2.软件系统出现部分故障，导致部分业务无法开展。</w:t>
            </w:r>
          </w:p>
        </w:tc>
      </w:tr>
      <w:tr w14:paraId="15E7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277" w:type="dxa"/>
            <w:shd w:val="clear" w:color="auto" w:fill="FFFFFF"/>
            <w:vAlign w:val="center"/>
          </w:tcPr>
          <w:p w14:paraId="6671D995">
            <w:pPr>
              <w:jc w:val="center"/>
              <w:rPr>
                <w:rFonts w:hint="eastAsia" w:ascii="仿宋" w:hAnsi="仿宋" w:eastAsia="仿宋"/>
              </w:rPr>
            </w:pPr>
            <w:r>
              <w:rPr>
                <w:rFonts w:hint="eastAsia" w:ascii="仿宋" w:hAnsi="仿宋" w:eastAsia="仿宋"/>
              </w:rPr>
              <w:t>一般</w:t>
            </w:r>
          </w:p>
        </w:tc>
        <w:tc>
          <w:tcPr>
            <w:tcW w:w="5704" w:type="dxa"/>
            <w:shd w:val="clear" w:color="auto" w:fill="FFFFFF"/>
            <w:vAlign w:val="center"/>
          </w:tcPr>
          <w:p w14:paraId="69FA5764">
            <w:pPr>
              <w:rPr>
                <w:rFonts w:hint="eastAsia" w:ascii="仿宋" w:hAnsi="仿宋" w:eastAsia="仿宋"/>
              </w:rPr>
            </w:pPr>
            <w:r>
              <w:rPr>
                <w:rFonts w:hint="eastAsia" w:ascii="仿宋" w:hAnsi="仿宋" w:eastAsia="仿宋"/>
              </w:rPr>
              <w:t>除以上故障外的不影响业务开展的其他故障。</w:t>
            </w:r>
          </w:p>
        </w:tc>
      </w:tr>
    </w:tbl>
    <w:p w14:paraId="15B7D1D0">
      <w:pPr>
        <w:spacing w:line="360" w:lineRule="auto"/>
        <w:ind w:firstLine="480"/>
        <w:rPr>
          <w:rFonts w:hint="eastAsia" w:ascii="仿宋" w:hAnsi="仿宋" w:eastAsia="仿宋" w:cs="宋体"/>
          <w:sz w:val="24"/>
        </w:rPr>
      </w:pPr>
      <w:r>
        <w:rPr>
          <w:rFonts w:ascii="仿宋" w:hAnsi="仿宋" w:eastAsia="仿宋" w:cs="宋体"/>
          <w:sz w:val="24"/>
        </w:rPr>
        <w:t>2</w:t>
      </w:r>
      <w:r>
        <w:rPr>
          <w:rFonts w:hint="eastAsia" w:ascii="仿宋" w:hAnsi="仿宋" w:eastAsia="仿宋" w:cs="宋体"/>
          <w:sz w:val="24"/>
        </w:rPr>
        <w:t>、运维服务期间，各业务系统的常规故障处理紧急程度要求如下：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2075"/>
        <w:gridCol w:w="738"/>
        <w:gridCol w:w="1920"/>
        <w:gridCol w:w="1920"/>
        <w:gridCol w:w="1869"/>
      </w:tblGrid>
      <w:tr w14:paraId="69A3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PrEx>
        <w:trPr>
          <w:trHeight w:val="510" w:hRule="atLeast"/>
          <w:tblHeader/>
          <w:jc w:val="center"/>
        </w:trPr>
        <w:tc>
          <w:tcPr>
            <w:tcW w:w="0" w:type="auto"/>
            <w:shd w:val="clear" w:color="auto" w:fill="FFFFFF"/>
            <w:vAlign w:val="center"/>
          </w:tcPr>
          <w:p w14:paraId="71817536">
            <w:pPr>
              <w:jc w:val="center"/>
              <w:rPr>
                <w:rFonts w:hint="eastAsia" w:ascii="仿宋" w:hAnsi="仿宋" w:eastAsia="仿宋"/>
                <w:b/>
              </w:rPr>
            </w:pPr>
            <w:r>
              <w:rPr>
                <w:rFonts w:hint="eastAsia" w:ascii="仿宋" w:hAnsi="仿宋" w:eastAsia="仿宋"/>
                <w:b/>
              </w:rPr>
              <w:t>应用系统</w:t>
            </w:r>
          </w:p>
        </w:tc>
        <w:tc>
          <w:tcPr>
            <w:tcW w:w="0" w:type="auto"/>
            <w:shd w:val="clear" w:color="auto" w:fill="FFFFFF"/>
            <w:vAlign w:val="center"/>
          </w:tcPr>
          <w:p w14:paraId="43BF076A">
            <w:pPr>
              <w:jc w:val="center"/>
              <w:rPr>
                <w:rFonts w:hint="eastAsia" w:ascii="仿宋" w:hAnsi="仿宋" w:eastAsia="仿宋"/>
                <w:b/>
              </w:rPr>
            </w:pPr>
            <w:r>
              <w:rPr>
                <w:rFonts w:hint="eastAsia" w:ascii="仿宋" w:hAnsi="仿宋" w:eastAsia="仿宋"/>
                <w:b/>
              </w:rPr>
              <w:t>响应时间</w:t>
            </w:r>
          </w:p>
        </w:tc>
        <w:tc>
          <w:tcPr>
            <w:tcW w:w="0" w:type="auto"/>
            <w:shd w:val="clear" w:color="auto" w:fill="FFFFFF"/>
            <w:vAlign w:val="center"/>
          </w:tcPr>
          <w:p w14:paraId="14A4A775">
            <w:pPr>
              <w:jc w:val="center"/>
              <w:rPr>
                <w:rFonts w:hint="eastAsia" w:ascii="仿宋" w:hAnsi="仿宋" w:eastAsia="仿宋"/>
                <w:b/>
              </w:rPr>
            </w:pPr>
            <w:r>
              <w:rPr>
                <w:rFonts w:hint="eastAsia" w:ascii="仿宋" w:hAnsi="仿宋" w:eastAsia="仿宋"/>
                <w:b/>
              </w:rPr>
              <w:t>一般故障响应要求</w:t>
            </w:r>
          </w:p>
        </w:tc>
        <w:tc>
          <w:tcPr>
            <w:tcW w:w="0" w:type="auto"/>
            <w:shd w:val="clear" w:color="auto" w:fill="FFFFFF"/>
            <w:vAlign w:val="center"/>
          </w:tcPr>
          <w:p w14:paraId="26DA4F52">
            <w:pPr>
              <w:jc w:val="center"/>
              <w:rPr>
                <w:rFonts w:hint="eastAsia" w:ascii="仿宋" w:hAnsi="仿宋" w:eastAsia="仿宋"/>
                <w:b/>
              </w:rPr>
            </w:pPr>
            <w:r>
              <w:rPr>
                <w:rFonts w:hint="eastAsia" w:ascii="仿宋" w:hAnsi="仿宋" w:eastAsia="仿宋"/>
                <w:b/>
              </w:rPr>
              <w:t>严重故障响应要求</w:t>
            </w:r>
          </w:p>
        </w:tc>
        <w:tc>
          <w:tcPr>
            <w:tcW w:w="0" w:type="auto"/>
            <w:shd w:val="clear" w:color="auto" w:fill="FFFFFF"/>
            <w:vAlign w:val="center"/>
          </w:tcPr>
          <w:p w14:paraId="146BB99B">
            <w:pPr>
              <w:jc w:val="center"/>
              <w:rPr>
                <w:rFonts w:hint="eastAsia" w:ascii="仿宋" w:hAnsi="仿宋" w:eastAsia="仿宋"/>
                <w:b/>
              </w:rPr>
            </w:pPr>
            <w:r>
              <w:rPr>
                <w:rFonts w:hint="eastAsia" w:ascii="仿宋" w:hAnsi="仿宋" w:eastAsia="仿宋"/>
                <w:b/>
              </w:rPr>
              <w:t>紧急故障响应要求</w:t>
            </w:r>
          </w:p>
        </w:tc>
      </w:tr>
      <w:tr w14:paraId="1A17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0" w:type="auto"/>
            <w:shd w:val="clear" w:color="auto" w:fill="FFFFFF"/>
            <w:vAlign w:val="center"/>
          </w:tcPr>
          <w:p w14:paraId="41C83724">
            <w:pPr>
              <w:jc w:val="center"/>
              <w:rPr>
                <w:rFonts w:hint="eastAsia" w:ascii="仿宋" w:hAnsi="仿宋" w:eastAsia="仿宋"/>
              </w:rPr>
            </w:pPr>
            <w:r>
              <w:rPr>
                <w:rFonts w:hint="eastAsia" w:ascii="仿宋" w:hAnsi="仿宋" w:eastAsia="仿宋"/>
              </w:rPr>
              <w:t>市政府智慧大院预约报账管理系统</w:t>
            </w:r>
          </w:p>
        </w:tc>
        <w:tc>
          <w:tcPr>
            <w:tcW w:w="0" w:type="auto"/>
            <w:shd w:val="clear" w:color="auto" w:fill="FFFFFF"/>
            <w:vAlign w:val="center"/>
          </w:tcPr>
          <w:p w14:paraId="664C14E1">
            <w:pPr>
              <w:jc w:val="center"/>
              <w:rPr>
                <w:rFonts w:hint="eastAsia" w:ascii="仿宋" w:hAnsi="仿宋" w:eastAsia="仿宋"/>
              </w:rPr>
            </w:pPr>
            <w:r>
              <w:rPr>
                <w:rFonts w:hint="eastAsia" w:ascii="仿宋" w:hAnsi="仿宋" w:eastAsia="仿宋"/>
              </w:rPr>
              <w:t>即时响应</w:t>
            </w:r>
          </w:p>
        </w:tc>
        <w:tc>
          <w:tcPr>
            <w:tcW w:w="0" w:type="auto"/>
            <w:shd w:val="clear" w:color="auto" w:fill="FFFFFF"/>
            <w:vAlign w:val="center"/>
          </w:tcPr>
          <w:p w14:paraId="52307452">
            <w:pPr>
              <w:rPr>
                <w:rFonts w:hint="eastAsia" w:ascii="仿宋" w:hAnsi="仿宋" w:eastAsia="仿宋"/>
              </w:rPr>
            </w:pPr>
            <w:r>
              <w:rPr>
                <w:rFonts w:hint="eastAsia" w:ascii="仿宋" w:hAnsi="仿宋" w:eastAsia="仿宋"/>
              </w:rPr>
              <w:t>接到故障通知后</w:t>
            </w:r>
            <w:r>
              <w:rPr>
                <w:rFonts w:ascii="仿宋" w:hAnsi="仿宋" w:eastAsia="仿宋"/>
              </w:rPr>
              <w:t>24</w:t>
            </w:r>
            <w:r>
              <w:rPr>
                <w:rFonts w:hint="eastAsia" w:ascii="仿宋" w:hAnsi="仿宋" w:eastAsia="仿宋"/>
              </w:rPr>
              <w:t>小时内排除故障</w:t>
            </w:r>
          </w:p>
        </w:tc>
        <w:tc>
          <w:tcPr>
            <w:tcW w:w="0" w:type="auto"/>
            <w:shd w:val="clear" w:color="auto" w:fill="FFFFFF"/>
            <w:vAlign w:val="center"/>
          </w:tcPr>
          <w:p w14:paraId="1962AEFC">
            <w:pPr>
              <w:rPr>
                <w:rFonts w:hint="eastAsia" w:ascii="仿宋" w:hAnsi="仿宋" w:eastAsia="仿宋"/>
              </w:rPr>
            </w:pPr>
            <w:r>
              <w:rPr>
                <w:rFonts w:hint="eastAsia" w:ascii="仿宋" w:hAnsi="仿宋" w:eastAsia="仿宋"/>
              </w:rPr>
              <w:t>接到故障通知后12小时内排除故障</w:t>
            </w:r>
          </w:p>
        </w:tc>
        <w:tc>
          <w:tcPr>
            <w:tcW w:w="0" w:type="auto"/>
            <w:shd w:val="clear" w:color="auto" w:fill="FFFFFF"/>
            <w:vAlign w:val="center"/>
          </w:tcPr>
          <w:p w14:paraId="3783525D">
            <w:pPr>
              <w:rPr>
                <w:rFonts w:hint="eastAsia" w:ascii="仿宋" w:hAnsi="仿宋" w:eastAsia="仿宋"/>
              </w:rPr>
            </w:pPr>
            <w:r>
              <w:rPr>
                <w:rFonts w:hint="eastAsia" w:ascii="仿宋" w:hAnsi="仿宋" w:eastAsia="仿宋"/>
              </w:rPr>
              <w:t>接到故障通知后8小时内排除故障</w:t>
            </w:r>
          </w:p>
        </w:tc>
      </w:tr>
      <w:tr w14:paraId="31B6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0" w:type="auto"/>
            <w:shd w:val="clear" w:color="auto" w:fill="FFFFFF"/>
            <w:vAlign w:val="center"/>
          </w:tcPr>
          <w:p w14:paraId="0CFA3F12">
            <w:pPr>
              <w:jc w:val="center"/>
              <w:rPr>
                <w:rFonts w:hint="eastAsia" w:ascii="仿宋" w:hAnsi="仿宋" w:eastAsia="仿宋"/>
              </w:rPr>
            </w:pPr>
            <w:r>
              <w:rPr>
                <w:rFonts w:hint="eastAsia" w:ascii="仿宋" w:hAnsi="仿宋" w:eastAsia="仿宋"/>
              </w:rPr>
              <w:t>广州市政府值班值守系统</w:t>
            </w:r>
          </w:p>
        </w:tc>
        <w:tc>
          <w:tcPr>
            <w:tcW w:w="0" w:type="auto"/>
            <w:shd w:val="clear" w:color="auto" w:fill="FFFFFF"/>
            <w:vAlign w:val="center"/>
          </w:tcPr>
          <w:p w14:paraId="2C23E918">
            <w:pPr>
              <w:jc w:val="center"/>
              <w:rPr>
                <w:rFonts w:hint="eastAsia" w:ascii="仿宋" w:hAnsi="仿宋" w:eastAsia="仿宋"/>
              </w:rPr>
            </w:pPr>
            <w:r>
              <w:rPr>
                <w:rFonts w:hint="eastAsia" w:ascii="仿宋" w:hAnsi="仿宋" w:eastAsia="仿宋"/>
              </w:rPr>
              <w:t>即时响应</w:t>
            </w:r>
          </w:p>
        </w:tc>
        <w:tc>
          <w:tcPr>
            <w:tcW w:w="0" w:type="auto"/>
            <w:shd w:val="clear" w:color="auto" w:fill="FFFFFF"/>
            <w:vAlign w:val="center"/>
          </w:tcPr>
          <w:p w14:paraId="742BFEE4">
            <w:pPr>
              <w:rPr>
                <w:rFonts w:hint="eastAsia" w:ascii="仿宋" w:hAnsi="仿宋" w:eastAsia="仿宋"/>
              </w:rPr>
            </w:pPr>
            <w:r>
              <w:rPr>
                <w:rFonts w:hint="eastAsia" w:ascii="仿宋" w:hAnsi="仿宋" w:eastAsia="仿宋"/>
              </w:rPr>
              <w:t>接到故障通知后24小时内排除故障</w:t>
            </w:r>
          </w:p>
        </w:tc>
        <w:tc>
          <w:tcPr>
            <w:tcW w:w="0" w:type="auto"/>
            <w:shd w:val="clear" w:color="auto" w:fill="FFFFFF"/>
            <w:vAlign w:val="center"/>
          </w:tcPr>
          <w:p w14:paraId="2A7F26B1">
            <w:pPr>
              <w:rPr>
                <w:rFonts w:hint="eastAsia" w:ascii="仿宋" w:hAnsi="仿宋" w:eastAsia="仿宋"/>
              </w:rPr>
            </w:pPr>
            <w:r>
              <w:rPr>
                <w:rFonts w:hint="eastAsia" w:ascii="仿宋" w:hAnsi="仿宋" w:eastAsia="仿宋"/>
              </w:rPr>
              <w:t>接到故障通知后8小时内排除故障</w:t>
            </w:r>
          </w:p>
        </w:tc>
        <w:tc>
          <w:tcPr>
            <w:tcW w:w="0" w:type="auto"/>
            <w:shd w:val="clear" w:color="auto" w:fill="FFFFFF"/>
            <w:vAlign w:val="center"/>
          </w:tcPr>
          <w:p w14:paraId="36EAE764">
            <w:pPr>
              <w:rPr>
                <w:rFonts w:hint="eastAsia" w:ascii="仿宋" w:hAnsi="仿宋" w:eastAsia="仿宋"/>
              </w:rPr>
            </w:pPr>
            <w:r>
              <w:rPr>
                <w:rFonts w:hint="eastAsia" w:ascii="仿宋" w:hAnsi="仿宋" w:eastAsia="仿宋"/>
              </w:rPr>
              <w:t>接到故障通知后4小时内排除故障</w:t>
            </w:r>
          </w:p>
        </w:tc>
      </w:tr>
      <w:tr w14:paraId="71BA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0" w:type="auto"/>
            <w:shd w:val="clear" w:color="auto" w:fill="FFFFFF"/>
            <w:vAlign w:val="center"/>
          </w:tcPr>
          <w:p w14:paraId="22B9A835">
            <w:pPr>
              <w:jc w:val="center"/>
              <w:rPr>
                <w:rFonts w:hint="eastAsia" w:ascii="仿宋" w:hAnsi="仿宋" w:eastAsia="仿宋"/>
              </w:rPr>
            </w:pPr>
            <w:r>
              <w:rPr>
                <w:rFonts w:hint="eastAsia" w:ascii="仿宋" w:hAnsi="仿宋" w:eastAsia="仿宋"/>
              </w:rPr>
              <w:t>预算单位财务管理系统广州市分级系统</w:t>
            </w:r>
          </w:p>
        </w:tc>
        <w:tc>
          <w:tcPr>
            <w:tcW w:w="0" w:type="auto"/>
            <w:shd w:val="clear" w:color="auto" w:fill="FFFFFF"/>
            <w:vAlign w:val="center"/>
          </w:tcPr>
          <w:p w14:paraId="5FDA8447">
            <w:pPr>
              <w:jc w:val="center"/>
              <w:rPr>
                <w:rFonts w:hint="eastAsia" w:ascii="仿宋" w:hAnsi="仿宋" w:eastAsia="仿宋"/>
              </w:rPr>
            </w:pPr>
            <w:r>
              <w:rPr>
                <w:rFonts w:hint="eastAsia" w:ascii="仿宋" w:hAnsi="仿宋" w:eastAsia="仿宋"/>
              </w:rPr>
              <w:t>即时响应</w:t>
            </w:r>
          </w:p>
        </w:tc>
        <w:tc>
          <w:tcPr>
            <w:tcW w:w="0" w:type="auto"/>
            <w:shd w:val="clear" w:color="auto" w:fill="FFFFFF"/>
            <w:vAlign w:val="center"/>
          </w:tcPr>
          <w:p w14:paraId="2D8D2D3E">
            <w:pPr>
              <w:rPr>
                <w:rFonts w:hint="eastAsia" w:ascii="仿宋" w:hAnsi="仿宋" w:eastAsia="仿宋"/>
              </w:rPr>
            </w:pPr>
            <w:r>
              <w:rPr>
                <w:rFonts w:hint="eastAsia" w:ascii="仿宋" w:hAnsi="仿宋" w:eastAsia="仿宋"/>
              </w:rPr>
              <w:t>接到故障通知后24小时内排除故障</w:t>
            </w:r>
          </w:p>
        </w:tc>
        <w:tc>
          <w:tcPr>
            <w:tcW w:w="0" w:type="auto"/>
            <w:shd w:val="clear" w:color="auto" w:fill="FFFFFF"/>
            <w:vAlign w:val="center"/>
          </w:tcPr>
          <w:p w14:paraId="54492803">
            <w:pPr>
              <w:rPr>
                <w:rFonts w:hint="eastAsia" w:ascii="仿宋" w:hAnsi="仿宋" w:eastAsia="仿宋"/>
              </w:rPr>
            </w:pPr>
            <w:r>
              <w:rPr>
                <w:rFonts w:hint="eastAsia" w:ascii="仿宋" w:hAnsi="仿宋" w:eastAsia="仿宋"/>
              </w:rPr>
              <w:t>接到故障通知后8小时内排除故障</w:t>
            </w:r>
          </w:p>
        </w:tc>
        <w:tc>
          <w:tcPr>
            <w:tcW w:w="0" w:type="auto"/>
            <w:shd w:val="clear" w:color="auto" w:fill="FFFFFF"/>
            <w:vAlign w:val="center"/>
          </w:tcPr>
          <w:p w14:paraId="799110F7">
            <w:pPr>
              <w:rPr>
                <w:rFonts w:hint="eastAsia" w:ascii="仿宋" w:hAnsi="仿宋" w:eastAsia="仿宋"/>
              </w:rPr>
            </w:pPr>
            <w:r>
              <w:rPr>
                <w:rFonts w:hint="eastAsia" w:ascii="仿宋" w:hAnsi="仿宋" w:eastAsia="仿宋"/>
              </w:rPr>
              <w:t>接到故障通知后4小时内排除故障</w:t>
            </w:r>
          </w:p>
        </w:tc>
      </w:tr>
    </w:tbl>
    <w:p w14:paraId="1AA9AFDD">
      <w:pPr>
        <w:spacing w:line="360" w:lineRule="auto"/>
        <w:ind w:firstLine="480"/>
        <w:rPr>
          <w:rFonts w:hint="eastAsia" w:ascii="仿宋" w:hAnsi="仿宋" w:eastAsia="仿宋" w:cs="宋体"/>
          <w:sz w:val="24"/>
        </w:rPr>
      </w:pPr>
    </w:p>
    <w:p w14:paraId="024AD877">
      <w:pPr>
        <w:pStyle w:val="4"/>
        <w:snapToGrid w:val="0"/>
        <w:spacing w:before="156" w:after="156"/>
        <w:ind w:left="432" w:hanging="432"/>
        <w:rPr>
          <w:rFonts w:hint="eastAsia" w:ascii="仿宋" w:hAnsi="仿宋" w:eastAsia="仿宋" w:cs="宋体"/>
          <w:szCs w:val="24"/>
        </w:rPr>
      </w:pPr>
      <w:r>
        <w:rPr>
          <w:rFonts w:hint="eastAsia" w:ascii="仿宋" w:hAnsi="仿宋" w:eastAsia="仿宋" w:cs="宋体"/>
          <w:szCs w:val="24"/>
        </w:rPr>
        <w:t>网络安全运维服务</w:t>
      </w:r>
    </w:p>
    <w:p w14:paraId="5F6C342B">
      <w:pPr>
        <w:spacing w:line="360" w:lineRule="auto"/>
        <w:ind w:firstLine="480"/>
        <w:rPr>
          <w:rStyle w:val="16"/>
          <w:rFonts w:hint="eastAsia" w:ascii="仿宋" w:hAnsi="仿宋" w:eastAsia="仿宋"/>
          <w:color w:val="000000"/>
          <w:sz w:val="24"/>
        </w:rPr>
      </w:pPr>
      <w:r>
        <w:rPr>
          <w:rFonts w:ascii="仿宋" w:hAnsi="仿宋" w:eastAsia="仿宋" w:cs="宋体"/>
          <w:sz w:val="24"/>
        </w:rPr>
        <w:t>网络安全运维服务</w:t>
      </w:r>
      <w:r>
        <w:rPr>
          <w:rStyle w:val="16"/>
          <w:rFonts w:hint="eastAsia" w:ascii="仿宋" w:hAnsi="仿宋" w:eastAsia="仿宋"/>
          <w:color w:val="000000"/>
          <w:sz w:val="24"/>
        </w:rPr>
        <w:t>主要包括数据安全服务、安全等级保护测评服务、密码应用测评服务及相关安全工具服务。</w:t>
      </w:r>
    </w:p>
    <w:p w14:paraId="472F55FA">
      <w:pPr>
        <w:pStyle w:val="5"/>
        <w:spacing w:line="360" w:lineRule="auto"/>
        <w:rPr>
          <w:rStyle w:val="16"/>
          <w:rFonts w:hint="eastAsia" w:ascii="仿宋" w:hAnsi="仿宋" w:eastAsia="仿宋" w:cs="宋体"/>
          <w:sz w:val="24"/>
          <w:szCs w:val="24"/>
        </w:rPr>
      </w:pPr>
      <w:r>
        <w:rPr>
          <w:rStyle w:val="16"/>
          <w:rFonts w:hint="eastAsia" w:ascii="仿宋" w:hAnsi="仿宋" w:eastAsia="仿宋" w:cs="宋体"/>
          <w:sz w:val="24"/>
          <w:szCs w:val="24"/>
        </w:rPr>
        <w:t>数据安全风险评估服务</w:t>
      </w:r>
    </w:p>
    <w:tbl>
      <w:tblPr>
        <w:tblStyle w:val="10"/>
        <w:tblW w:w="5478" w:type="pct"/>
        <w:jc w:val="center"/>
        <w:tblLayout w:type="autofit"/>
        <w:tblCellMar>
          <w:top w:w="0" w:type="dxa"/>
          <w:left w:w="108" w:type="dxa"/>
          <w:bottom w:w="0" w:type="dxa"/>
          <w:right w:w="108" w:type="dxa"/>
        </w:tblCellMar>
      </w:tblPr>
      <w:tblGrid>
        <w:gridCol w:w="876"/>
        <w:gridCol w:w="1305"/>
        <w:gridCol w:w="5681"/>
        <w:gridCol w:w="1475"/>
      </w:tblGrid>
      <w:tr w14:paraId="7B7E06C4">
        <w:tblPrEx>
          <w:tblCellMar>
            <w:top w:w="0" w:type="dxa"/>
            <w:left w:w="108" w:type="dxa"/>
            <w:bottom w:w="0" w:type="dxa"/>
            <w:right w:w="108" w:type="dxa"/>
          </w:tblCellMar>
        </w:tblPrEx>
        <w:trPr>
          <w:trHeight w:val="451" w:hRule="atLeast"/>
          <w:tblHeader/>
          <w:jc w:val="center"/>
        </w:trPr>
        <w:tc>
          <w:tcPr>
            <w:tcW w:w="469" w:type="pct"/>
            <w:tcBorders>
              <w:top w:val="single" w:color="auto" w:sz="4" w:space="0"/>
              <w:left w:val="single" w:color="auto" w:sz="4" w:space="0"/>
              <w:bottom w:val="single" w:color="auto" w:sz="4" w:space="0"/>
              <w:right w:val="single" w:color="auto" w:sz="4" w:space="0"/>
            </w:tcBorders>
            <w:vAlign w:val="center"/>
          </w:tcPr>
          <w:p w14:paraId="2C7085A1">
            <w:pPr>
              <w:widowControl/>
              <w:spacing w:line="360" w:lineRule="auto"/>
              <w:jc w:val="center"/>
              <w:rPr>
                <w:rFonts w:hint="eastAsia" w:ascii="仿宋" w:hAnsi="仿宋" w:eastAsia="仿宋" w:cs="宋体"/>
                <w:b/>
                <w:bCs/>
                <w:color w:val="000000"/>
                <w:kern w:val="0"/>
                <w:sz w:val="24"/>
              </w:rPr>
            </w:pPr>
            <w:r>
              <w:rPr>
                <w:rFonts w:hint="eastAsia" w:ascii="仿宋" w:hAnsi="仿宋" w:eastAsia="仿宋" w:cs="宋体"/>
                <w:b/>
                <w:bCs/>
                <w:color w:val="000000"/>
                <w:kern w:val="0"/>
                <w:sz w:val="24"/>
              </w:rPr>
              <w:t>序号</w:t>
            </w:r>
          </w:p>
        </w:tc>
        <w:tc>
          <w:tcPr>
            <w:tcW w:w="699" w:type="pct"/>
            <w:tcBorders>
              <w:top w:val="single" w:color="auto" w:sz="4" w:space="0"/>
              <w:left w:val="nil"/>
              <w:bottom w:val="single" w:color="auto" w:sz="4" w:space="0"/>
              <w:right w:val="single" w:color="auto" w:sz="4" w:space="0"/>
            </w:tcBorders>
            <w:vAlign w:val="center"/>
          </w:tcPr>
          <w:p w14:paraId="081F8244">
            <w:pPr>
              <w:widowControl/>
              <w:spacing w:line="360" w:lineRule="auto"/>
              <w:jc w:val="center"/>
              <w:rPr>
                <w:rFonts w:hint="eastAsia" w:ascii="仿宋" w:hAnsi="仿宋" w:eastAsia="仿宋" w:cs="宋体"/>
                <w:b/>
                <w:bCs/>
                <w:color w:val="000000"/>
                <w:kern w:val="0"/>
                <w:sz w:val="24"/>
              </w:rPr>
            </w:pPr>
            <w:r>
              <w:rPr>
                <w:rFonts w:hint="eastAsia" w:ascii="仿宋" w:hAnsi="仿宋" w:eastAsia="仿宋" w:cs="宋体"/>
                <w:b/>
                <w:bCs/>
                <w:color w:val="000000"/>
                <w:kern w:val="0"/>
                <w:sz w:val="24"/>
              </w:rPr>
              <w:t>服务项目</w:t>
            </w:r>
          </w:p>
        </w:tc>
        <w:tc>
          <w:tcPr>
            <w:tcW w:w="3042" w:type="pct"/>
            <w:tcBorders>
              <w:top w:val="single" w:color="auto" w:sz="4" w:space="0"/>
              <w:left w:val="nil"/>
              <w:bottom w:val="single" w:color="auto" w:sz="4" w:space="0"/>
              <w:right w:val="single" w:color="auto" w:sz="4" w:space="0"/>
            </w:tcBorders>
            <w:vAlign w:val="center"/>
          </w:tcPr>
          <w:p w14:paraId="3707EBC2">
            <w:pPr>
              <w:widowControl/>
              <w:spacing w:line="360" w:lineRule="auto"/>
              <w:jc w:val="center"/>
              <w:rPr>
                <w:rFonts w:hint="eastAsia" w:ascii="仿宋" w:hAnsi="仿宋" w:eastAsia="仿宋" w:cs="宋体"/>
                <w:b/>
                <w:bCs/>
                <w:color w:val="000000"/>
                <w:kern w:val="0"/>
                <w:sz w:val="24"/>
              </w:rPr>
            </w:pPr>
            <w:r>
              <w:rPr>
                <w:rFonts w:hint="eastAsia" w:ascii="仿宋" w:hAnsi="仿宋" w:eastAsia="仿宋" w:cs="宋体"/>
                <w:b/>
                <w:bCs/>
                <w:color w:val="000000"/>
                <w:kern w:val="0"/>
                <w:sz w:val="24"/>
              </w:rPr>
              <w:t>服务内容</w:t>
            </w:r>
          </w:p>
        </w:tc>
        <w:tc>
          <w:tcPr>
            <w:tcW w:w="790" w:type="pct"/>
            <w:tcBorders>
              <w:top w:val="single" w:color="auto" w:sz="4" w:space="0"/>
              <w:left w:val="nil"/>
              <w:bottom w:val="single" w:color="auto" w:sz="4" w:space="0"/>
              <w:right w:val="single" w:color="auto" w:sz="4" w:space="0"/>
            </w:tcBorders>
            <w:vAlign w:val="center"/>
          </w:tcPr>
          <w:p w14:paraId="5C10D328">
            <w:pPr>
              <w:widowControl/>
              <w:spacing w:line="360" w:lineRule="auto"/>
              <w:jc w:val="center"/>
              <w:rPr>
                <w:rFonts w:hint="eastAsia" w:ascii="仿宋" w:hAnsi="仿宋" w:eastAsia="仿宋" w:cs="宋体"/>
                <w:b/>
                <w:bCs/>
                <w:kern w:val="0"/>
                <w:sz w:val="24"/>
              </w:rPr>
            </w:pPr>
            <w:r>
              <w:rPr>
                <w:rFonts w:hint="eastAsia" w:ascii="仿宋" w:hAnsi="仿宋" w:eastAsia="仿宋" w:cs="宋体"/>
                <w:b/>
                <w:bCs/>
                <w:kern w:val="0"/>
                <w:sz w:val="24"/>
              </w:rPr>
              <w:t>备注</w:t>
            </w:r>
          </w:p>
        </w:tc>
      </w:tr>
      <w:tr w14:paraId="6EB98796">
        <w:tblPrEx>
          <w:tblCellMar>
            <w:top w:w="0" w:type="dxa"/>
            <w:left w:w="108" w:type="dxa"/>
            <w:bottom w:w="0" w:type="dxa"/>
            <w:right w:w="108" w:type="dxa"/>
          </w:tblCellMar>
        </w:tblPrEx>
        <w:trPr>
          <w:trHeight w:val="3977" w:hRule="atLeast"/>
          <w:jc w:val="center"/>
        </w:trPr>
        <w:tc>
          <w:tcPr>
            <w:tcW w:w="469" w:type="pct"/>
            <w:tcBorders>
              <w:top w:val="nil"/>
              <w:left w:val="single" w:color="auto" w:sz="4" w:space="0"/>
              <w:bottom w:val="single" w:color="auto" w:sz="4" w:space="0"/>
              <w:right w:val="single" w:color="auto" w:sz="4" w:space="0"/>
            </w:tcBorders>
          </w:tcPr>
          <w:p w14:paraId="1C35EFE8">
            <w:pPr>
              <w:widowControl/>
              <w:spacing w:line="360" w:lineRule="auto"/>
              <w:jc w:val="center"/>
              <w:rPr>
                <w:rFonts w:hint="eastAsia" w:ascii="仿宋" w:hAnsi="仿宋" w:eastAsia="仿宋" w:cs="宋体"/>
                <w:color w:val="000000"/>
                <w:kern w:val="0"/>
                <w:sz w:val="24"/>
              </w:rPr>
            </w:pPr>
            <w:r>
              <w:rPr>
                <w:rFonts w:ascii="仿宋" w:hAnsi="仿宋" w:eastAsia="仿宋" w:cs="宋体"/>
                <w:color w:val="000000"/>
                <w:kern w:val="0"/>
                <w:sz w:val="24"/>
              </w:rPr>
              <w:t>1</w:t>
            </w:r>
          </w:p>
        </w:tc>
        <w:tc>
          <w:tcPr>
            <w:tcW w:w="699" w:type="pct"/>
            <w:tcBorders>
              <w:left w:val="single" w:color="auto" w:sz="4" w:space="0"/>
              <w:bottom w:val="single" w:color="auto" w:sz="4" w:space="0"/>
              <w:right w:val="single" w:color="auto" w:sz="4" w:space="0"/>
            </w:tcBorders>
          </w:tcPr>
          <w:p w14:paraId="7BA7E10D">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数据安全风险评估服务</w:t>
            </w:r>
          </w:p>
        </w:tc>
        <w:tc>
          <w:tcPr>
            <w:tcW w:w="3042" w:type="pct"/>
            <w:tcBorders>
              <w:top w:val="nil"/>
              <w:left w:val="nil"/>
              <w:bottom w:val="single" w:color="auto" w:sz="4" w:space="0"/>
              <w:right w:val="single" w:color="auto" w:sz="4" w:space="0"/>
            </w:tcBorders>
            <w:vAlign w:val="center"/>
          </w:tcPr>
          <w:p w14:paraId="795192D2">
            <w:pPr>
              <w:widowControl/>
              <w:spacing w:line="360" w:lineRule="auto"/>
              <w:jc w:val="left"/>
              <w:rPr>
                <w:rFonts w:hint="eastAsia" w:ascii="仿宋" w:hAnsi="仿宋" w:eastAsia="仿宋" w:cs="宋体"/>
                <w:color w:val="000000"/>
                <w:kern w:val="0"/>
                <w:sz w:val="24"/>
              </w:rPr>
            </w:pPr>
            <w:r>
              <w:rPr>
                <w:rFonts w:hint="eastAsia" w:ascii="仿宋" w:hAnsi="仿宋" w:eastAsia="仿宋" w:cs="宋体"/>
                <w:color w:val="000000"/>
                <w:kern w:val="0"/>
                <w:sz w:val="24"/>
              </w:rPr>
              <w:t>通过对政务信息系统开展数据安全评估服务，形成当前办公厅数据安全评估报告，为后续系统数据安全优化提供整改依据。数据安全评估服务通过人工现场调研和技术检查相结合的方式收集业务应用场景，基于业务场景的风险暴露面（即自身脆弱性）、安全威胁主体、安全威胁，结合行业监管标准规范的安全防护要求，提供管理制度规范、操作规范流程和技术防护三个维度的数据安全风险评估策略服务。提供发现可能存在数据应用场景的高风险问题和威胁行为，具体评估内容为对系统运行现状开展评估，包括但不限于在数据安全组织架构和人员、数据安全制度体系建设情况、数据分类分级情况、数据安全事件应急响应水平情况、数据合规处理情况、数据安全保障措施配备和有效性情况、合作方管理情况等，实际工作中也可按照中心实际需求进行专题式评估。</w:t>
            </w:r>
          </w:p>
        </w:tc>
        <w:tc>
          <w:tcPr>
            <w:tcW w:w="790" w:type="pct"/>
            <w:tcBorders>
              <w:top w:val="nil"/>
              <w:left w:val="nil"/>
              <w:bottom w:val="single" w:color="auto" w:sz="4" w:space="0"/>
              <w:right w:val="single" w:color="auto" w:sz="4" w:space="0"/>
            </w:tcBorders>
          </w:tcPr>
          <w:p w14:paraId="46912F3A">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《数据安全风险评估报告》</w:t>
            </w:r>
          </w:p>
        </w:tc>
      </w:tr>
      <w:tr w14:paraId="1657CBD1">
        <w:tblPrEx>
          <w:tblCellMar>
            <w:top w:w="0" w:type="dxa"/>
            <w:left w:w="108" w:type="dxa"/>
            <w:bottom w:w="0" w:type="dxa"/>
            <w:right w:w="108" w:type="dxa"/>
          </w:tblCellMar>
        </w:tblPrEx>
        <w:trPr>
          <w:trHeight w:val="3977" w:hRule="atLeast"/>
          <w:jc w:val="center"/>
        </w:trPr>
        <w:tc>
          <w:tcPr>
            <w:tcW w:w="469" w:type="pct"/>
            <w:vMerge w:val="restart"/>
            <w:tcBorders>
              <w:top w:val="single" w:color="auto" w:sz="4" w:space="0"/>
              <w:left w:val="single" w:color="auto" w:sz="4" w:space="0"/>
              <w:right w:val="single" w:color="auto" w:sz="4" w:space="0"/>
            </w:tcBorders>
          </w:tcPr>
          <w:p w14:paraId="140B3027">
            <w:pPr>
              <w:widowControl/>
              <w:spacing w:line="360" w:lineRule="auto"/>
              <w:jc w:val="center"/>
              <w:rPr>
                <w:rFonts w:hint="eastAsia" w:ascii="仿宋" w:hAnsi="仿宋" w:eastAsia="仿宋" w:cs="宋体"/>
                <w:color w:val="000000"/>
                <w:kern w:val="0"/>
                <w:sz w:val="24"/>
              </w:rPr>
            </w:pPr>
            <w:r>
              <w:rPr>
                <w:rFonts w:hint="eastAsia" w:ascii="仿宋" w:hAnsi="仿宋" w:eastAsia="仿宋" w:cs="宋体"/>
                <w:color w:val="000000"/>
                <w:kern w:val="0"/>
                <w:sz w:val="24"/>
              </w:rPr>
              <w:t>2</w:t>
            </w:r>
          </w:p>
        </w:tc>
        <w:tc>
          <w:tcPr>
            <w:tcW w:w="699" w:type="pct"/>
            <w:vMerge w:val="restart"/>
            <w:tcBorders>
              <w:top w:val="single" w:color="auto" w:sz="4" w:space="0"/>
              <w:left w:val="single" w:color="auto" w:sz="4" w:space="0"/>
              <w:right w:val="single" w:color="auto" w:sz="4" w:space="0"/>
            </w:tcBorders>
          </w:tcPr>
          <w:p w14:paraId="7CC79EB8">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数据资产梳理和分类分级服务</w:t>
            </w:r>
          </w:p>
        </w:tc>
        <w:tc>
          <w:tcPr>
            <w:tcW w:w="3042" w:type="pct"/>
            <w:tcBorders>
              <w:top w:val="single" w:color="auto" w:sz="4" w:space="0"/>
              <w:left w:val="nil"/>
              <w:bottom w:val="single" w:color="auto" w:sz="4" w:space="0"/>
              <w:right w:val="single" w:color="auto" w:sz="4" w:space="0"/>
            </w:tcBorders>
          </w:tcPr>
          <w:p w14:paraId="6FF7BC38">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数据资产梳理：</w:t>
            </w:r>
          </w:p>
          <w:p w14:paraId="21645F81">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根据《中华人民共和国数据安全法》《中华人民共和国个人信息保护法》《中华人民共和国网络安全法》《广东省公共数据管理方法》《广州市政务数据安全管理方法》《广州市网络数据安全工作指引（试行）》《广州市政务数据分类分级实施指南（试行）》等数据安全相关法律法规要求，结合广州市人民政府办公厅实际情况，梳理政务信息系统数据资产，掌握相关数据分布和数据资产总量，完善数据资产清单目录。</w:t>
            </w:r>
          </w:p>
        </w:tc>
        <w:tc>
          <w:tcPr>
            <w:tcW w:w="790" w:type="pct"/>
            <w:tcBorders>
              <w:top w:val="single" w:color="auto" w:sz="4" w:space="0"/>
              <w:left w:val="nil"/>
              <w:bottom w:val="single" w:color="auto" w:sz="4" w:space="0"/>
              <w:right w:val="single" w:color="auto" w:sz="4" w:space="0"/>
            </w:tcBorders>
          </w:tcPr>
          <w:p w14:paraId="2A37867E">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《政务信息系统数据资产清单目录》</w:t>
            </w:r>
          </w:p>
        </w:tc>
      </w:tr>
      <w:tr w14:paraId="6D722C85">
        <w:tblPrEx>
          <w:tblCellMar>
            <w:top w:w="0" w:type="dxa"/>
            <w:left w:w="108" w:type="dxa"/>
            <w:bottom w:w="0" w:type="dxa"/>
            <w:right w:w="108" w:type="dxa"/>
          </w:tblCellMar>
        </w:tblPrEx>
        <w:trPr>
          <w:trHeight w:val="3977" w:hRule="atLeast"/>
          <w:jc w:val="center"/>
        </w:trPr>
        <w:tc>
          <w:tcPr>
            <w:tcW w:w="469" w:type="pct"/>
            <w:vMerge w:val="continue"/>
            <w:tcBorders>
              <w:left w:val="single" w:color="auto" w:sz="4" w:space="0"/>
              <w:bottom w:val="single" w:color="auto" w:sz="4" w:space="0"/>
              <w:right w:val="single" w:color="auto" w:sz="4" w:space="0"/>
            </w:tcBorders>
          </w:tcPr>
          <w:p w14:paraId="1454847A">
            <w:pPr>
              <w:widowControl/>
              <w:spacing w:line="360" w:lineRule="auto"/>
              <w:jc w:val="center"/>
              <w:rPr>
                <w:rFonts w:hint="eastAsia" w:ascii="仿宋" w:hAnsi="仿宋" w:eastAsia="仿宋" w:cs="宋体"/>
                <w:color w:val="000000"/>
                <w:kern w:val="0"/>
                <w:sz w:val="24"/>
              </w:rPr>
            </w:pPr>
          </w:p>
        </w:tc>
        <w:tc>
          <w:tcPr>
            <w:tcW w:w="699" w:type="pct"/>
            <w:vMerge w:val="continue"/>
            <w:tcBorders>
              <w:left w:val="single" w:color="auto" w:sz="4" w:space="0"/>
              <w:bottom w:val="single" w:color="auto" w:sz="4" w:space="0"/>
              <w:right w:val="single" w:color="auto" w:sz="4" w:space="0"/>
            </w:tcBorders>
          </w:tcPr>
          <w:p w14:paraId="58D793F1">
            <w:pPr>
              <w:widowControl/>
              <w:spacing w:line="360" w:lineRule="auto"/>
              <w:rPr>
                <w:rFonts w:hint="eastAsia" w:ascii="仿宋" w:hAnsi="仿宋" w:eastAsia="仿宋" w:cs="宋体"/>
                <w:color w:val="000000"/>
                <w:kern w:val="0"/>
                <w:sz w:val="24"/>
              </w:rPr>
            </w:pPr>
          </w:p>
        </w:tc>
        <w:tc>
          <w:tcPr>
            <w:tcW w:w="3042" w:type="pct"/>
            <w:tcBorders>
              <w:top w:val="single" w:color="auto" w:sz="4" w:space="0"/>
              <w:left w:val="nil"/>
              <w:bottom w:val="single" w:color="auto" w:sz="4" w:space="0"/>
              <w:right w:val="single" w:color="auto" w:sz="4" w:space="0"/>
            </w:tcBorders>
          </w:tcPr>
          <w:p w14:paraId="73DD3653">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数据分类分级:</w:t>
            </w:r>
          </w:p>
          <w:p w14:paraId="09DB3ED1">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为掌握市政府办公厅数据资产的整体分布情况，按实际业务需要更新数据分类分级规则，依据单位分类分级规则和标准要求，梳理各对应系统数据分类分级分布情况，对接关联系统相关业务实际情况，整理归纳数据目录信息：包括划分数据类型（包括大类、子类，如业务数据-任务事项信息、个人信息-身份证号码、财务信息-支付信息、配置信息-日志文件等等）、识别数据重要程度（即一般数据、重要数据、核心数据）、评估数据等级（Ⅰ~Ⅳ级），明确数据采集来源、数据结构、数据关联系统等信息，归纳个人信息、个人敏感信息的分布情况，以人工形式逐一评估和校对数据类别和数据等级，最终输出本单位政务信息系统数据分类分级清单（部分）。</w:t>
            </w:r>
          </w:p>
        </w:tc>
        <w:tc>
          <w:tcPr>
            <w:tcW w:w="790" w:type="pct"/>
            <w:tcBorders>
              <w:top w:val="single" w:color="auto" w:sz="4" w:space="0"/>
              <w:left w:val="nil"/>
              <w:bottom w:val="single" w:color="auto" w:sz="4" w:space="0"/>
              <w:right w:val="single" w:color="auto" w:sz="4" w:space="0"/>
            </w:tcBorders>
          </w:tcPr>
          <w:p w14:paraId="10E308B4">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《政务信息系统数据分类分级清单》（部分）</w:t>
            </w:r>
          </w:p>
        </w:tc>
      </w:tr>
      <w:tr w14:paraId="25FD74E8">
        <w:tblPrEx>
          <w:tblCellMar>
            <w:top w:w="0" w:type="dxa"/>
            <w:left w:w="108" w:type="dxa"/>
            <w:bottom w:w="0" w:type="dxa"/>
            <w:right w:w="108" w:type="dxa"/>
          </w:tblCellMar>
        </w:tblPrEx>
        <w:trPr>
          <w:trHeight w:val="3977" w:hRule="atLeast"/>
          <w:jc w:val="center"/>
        </w:trPr>
        <w:tc>
          <w:tcPr>
            <w:tcW w:w="469" w:type="pct"/>
            <w:tcBorders>
              <w:top w:val="single" w:color="auto" w:sz="4" w:space="0"/>
              <w:left w:val="single" w:color="auto" w:sz="4" w:space="0"/>
              <w:bottom w:val="single" w:color="auto" w:sz="4" w:space="0"/>
              <w:right w:val="single" w:color="auto" w:sz="4" w:space="0"/>
            </w:tcBorders>
          </w:tcPr>
          <w:p w14:paraId="18C7B996">
            <w:pPr>
              <w:widowControl/>
              <w:spacing w:line="360" w:lineRule="auto"/>
              <w:jc w:val="center"/>
              <w:rPr>
                <w:rFonts w:hint="eastAsia" w:ascii="仿宋" w:hAnsi="仿宋" w:eastAsia="仿宋" w:cs="宋体"/>
                <w:color w:val="000000"/>
                <w:kern w:val="0"/>
                <w:sz w:val="24"/>
              </w:rPr>
            </w:pPr>
            <w:r>
              <w:rPr>
                <w:rFonts w:hint="eastAsia" w:ascii="仿宋" w:hAnsi="仿宋" w:eastAsia="仿宋" w:cs="宋体"/>
                <w:color w:val="000000"/>
                <w:kern w:val="0"/>
                <w:sz w:val="24"/>
              </w:rPr>
              <w:t>3</w:t>
            </w:r>
          </w:p>
        </w:tc>
        <w:tc>
          <w:tcPr>
            <w:tcW w:w="699" w:type="pct"/>
            <w:tcBorders>
              <w:top w:val="single" w:color="auto" w:sz="4" w:space="0"/>
              <w:left w:val="single" w:color="auto" w:sz="4" w:space="0"/>
              <w:bottom w:val="single" w:color="auto" w:sz="4" w:space="0"/>
              <w:right w:val="single" w:color="auto" w:sz="4" w:space="0"/>
            </w:tcBorders>
          </w:tcPr>
          <w:p w14:paraId="4760665E">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数据安全应急演练</w:t>
            </w:r>
          </w:p>
        </w:tc>
        <w:tc>
          <w:tcPr>
            <w:tcW w:w="3042" w:type="pct"/>
            <w:tcBorders>
              <w:top w:val="single" w:color="auto" w:sz="4" w:space="0"/>
              <w:left w:val="nil"/>
              <w:bottom w:val="single" w:color="auto" w:sz="4" w:space="0"/>
              <w:right w:val="single" w:color="auto" w:sz="4" w:space="0"/>
            </w:tcBorders>
          </w:tcPr>
          <w:p w14:paraId="2C7BC121">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根据市人民政府办公厅可能发生的数据安全事件影响范围，开展一次针对市政府办公厅的数据安全事件应急演练，提高员工对安全事件的认识和应对能力，保障单位在安全事件发生时的高效应对。演练前需进行应急培训，编写事件应急预案，根据单位应急队伍结构编制应急演练脚本，确保应急预案的可用性和可行性。并对应急演练过程和成效进行分析和总结，以优化现有的安全措施和应急处置流程，预防类似事件发生。主要包括：</w:t>
            </w:r>
          </w:p>
          <w:p w14:paraId="521C6C7D">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①应急预案演练设计；</w:t>
            </w:r>
          </w:p>
          <w:p w14:paraId="44793D5C">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 xml:space="preserve">②开展演练前的培训（至少提供1次培训）；  </w:t>
            </w:r>
          </w:p>
          <w:p w14:paraId="0B287686">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③启动演练；</w:t>
            </w:r>
          </w:p>
          <w:p w14:paraId="16F24C88">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④完成演练并提交报告。</w:t>
            </w:r>
          </w:p>
        </w:tc>
        <w:tc>
          <w:tcPr>
            <w:tcW w:w="790" w:type="pct"/>
            <w:tcBorders>
              <w:top w:val="single" w:color="auto" w:sz="4" w:space="0"/>
              <w:left w:val="nil"/>
              <w:bottom w:val="single" w:color="auto" w:sz="4" w:space="0"/>
              <w:right w:val="single" w:color="auto" w:sz="4" w:space="0"/>
            </w:tcBorders>
          </w:tcPr>
          <w:p w14:paraId="59CBE4C3">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《数据库</w:t>
            </w:r>
            <w:r>
              <w:rPr>
                <w:rFonts w:ascii="仿宋" w:hAnsi="仿宋" w:eastAsia="仿宋" w:cs="宋体"/>
                <w:color w:val="000000"/>
                <w:kern w:val="0"/>
                <w:sz w:val="24"/>
              </w:rPr>
              <w:t>xx</w:t>
            </w:r>
            <w:r>
              <w:rPr>
                <w:rFonts w:hint="eastAsia" w:ascii="仿宋" w:hAnsi="仿宋" w:eastAsia="仿宋" w:cs="宋体"/>
                <w:color w:val="000000"/>
                <w:kern w:val="0"/>
                <w:sz w:val="24"/>
              </w:rPr>
              <w:t>安全事件应急预案》；</w:t>
            </w:r>
          </w:p>
          <w:p w14:paraId="7F109168">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《数据库</w:t>
            </w:r>
            <w:r>
              <w:rPr>
                <w:rFonts w:ascii="仿宋" w:hAnsi="仿宋" w:eastAsia="仿宋" w:cs="宋体"/>
                <w:color w:val="000000"/>
                <w:kern w:val="0"/>
                <w:sz w:val="24"/>
              </w:rPr>
              <w:t>xx</w:t>
            </w:r>
            <w:r>
              <w:rPr>
                <w:rFonts w:hint="eastAsia" w:ascii="仿宋" w:hAnsi="仿宋" w:eastAsia="仿宋" w:cs="宋体"/>
                <w:color w:val="000000"/>
                <w:kern w:val="0"/>
                <w:sz w:val="24"/>
              </w:rPr>
              <w:t>安全事件应急演练脚本》；</w:t>
            </w:r>
          </w:p>
          <w:p w14:paraId="2D82E783">
            <w:pPr>
              <w:widowControl/>
              <w:spacing w:line="360" w:lineRule="auto"/>
              <w:rPr>
                <w:rFonts w:hint="eastAsia" w:ascii="仿宋" w:hAnsi="仿宋" w:eastAsia="仿宋" w:cs="宋体"/>
                <w:color w:val="000000"/>
                <w:kern w:val="0"/>
                <w:sz w:val="24"/>
              </w:rPr>
            </w:pPr>
            <w:r>
              <w:rPr>
                <w:rFonts w:hint="eastAsia" w:ascii="仿宋" w:hAnsi="仿宋" w:eastAsia="仿宋" w:cs="宋体"/>
                <w:color w:val="000000"/>
                <w:kern w:val="0"/>
                <w:sz w:val="24"/>
              </w:rPr>
              <w:t>《数据库xx安全事件应急演练总结报告》</w:t>
            </w:r>
          </w:p>
        </w:tc>
      </w:tr>
    </w:tbl>
    <w:p w14:paraId="242A1619">
      <w:pPr>
        <w:pStyle w:val="5"/>
        <w:spacing w:line="360" w:lineRule="auto"/>
        <w:rPr>
          <w:rStyle w:val="16"/>
          <w:rFonts w:hint="eastAsia" w:ascii="仿宋" w:hAnsi="仿宋" w:eastAsia="仿宋" w:cs="宋体"/>
          <w:sz w:val="24"/>
          <w:szCs w:val="24"/>
        </w:rPr>
      </w:pPr>
      <w:r>
        <w:rPr>
          <w:rStyle w:val="16"/>
          <w:rFonts w:hint="eastAsia" w:ascii="仿宋" w:hAnsi="仿宋" w:eastAsia="仿宋" w:cs="宋体"/>
          <w:sz w:val="24"/>
          <w:szCs w:val="24"/>
        </w:rPr>
        <w:t>等级保护测评和商用密码应用测评服务</w:t>
      </w:r>
    </w:p>
    <w:p w14:paraId="64B0D118">
      <w:pPr>
        <w:spacing w:line="360" w:lineRule="auto"/>
        <w:ind w:firstLine="480"/>
        <w:rPr>
          <w:rFonts w:hint="eastAsia" w:ascii="仿宋" w:hAnsi="仿宋" w:eastAsia="仿宋" w:cs="宋体"/>
          <w:sz w:val="24"/>
        </w:rPr>
      </w:pPr>
      <w:r>
        <w:rPr>
          <w:rFonts w:hint="eastAsia" w:ascii="仿宋" w:hAnsi="仿宋" w:eastAsia="仿宋" w:cs="宋体"/>
          <w:sz w:val="24"/>
        </w:rPr>
        <w:t>★投标人须具有检验检测机构资质认定证书(CMA)资质和中国合格评定国家认可委员会(CNAS)资质证书，提供证书扫描件。若以由合同分包单位承担的，承担项目需求中“等级保护测评和商用密码应用测评服务”相关任务的分包单位必须满足此资质要求。(提供承诺函，格式自拟)</w:t>
      </w:r>
    </w:p>
    <w:p w14:paraId="6C350879">
      <w:pPr>
        <w:spacing w:line="360" w:lineRule="auto"/>
        <w:ind w:firstLine="480"/>
        <w:rPr>
          <w:rFonts w:hint="eastAsia" w:ascii="仿宋" w:hAnsi="仿宋" w:eastAsia="仿宋" w:cs="宋体"/>
          <w:sz w:val="24"/>
        </w:rPr>
      </w:pPr>
      <w:r>
        <w:rPr>
          <w:rFonts w:ascii="仿宋" w:hAnsi="仿宋" w:eastAsia="仿宋" w:cs="宋体"/>
          <w:sz w:val="24"/>
        </w:rPr>
        <w:t>本次等级保护测评及商用密码应用测评服务及包括：</w:t>
      </w:r>
    </w:p>
    <w:p w14:paraId="0EBC45AE">
      <w:pPr>
        <w:spacing w:line="360" w:lineRule="auto"/>
        <w:ind w:firstLine="480"/>
        <w:rPr>
          <w:rFonts w:hint="eastAsia" w:ascii="仿宋" w:hAnsi="仿宋" w:eastAsia="仿宋" w:cs="宋体"/>
          <w:sz w:val="24"/>
        </w:rPr>
      </w:pPr>
      <w:r>
        <w:rPr>
          <w:rFonts w:hint="eastAsia" w:ascii="仿宋" w:hAnsi="仿宋" w:eastAsia="仿宋" w:cs="宋体"/>
          <w:sz w:val="24"/>
        </w:rPr>
        <w:t>（1）4个二级等级保护测评服务：广州市视频会议系统，广州市人民政府办公厅无纸化会议系统，广州市人民政府机关大院安全指挥综合管理平台(视频图像信息综合应用平台)及政安通系统(人车审批系统)；</w:t>
      </w:r>
    </w:p>
    <w:p w14:paraId="3B72BEDC">
      <w:pPr>
        <w:spacing w:line="360" w:lineRule="auto"/>
        <w:ind w:firstLine="480"/>
        <w:rPr>
          <w:rFonts w:hint="eastAsia" w:ascii="仿宋" w:hAnsi="仿宋" w:eastAsia="仿宋" w:cs="宋体"/>
          <w:sz w:val="24"/>
        </w:rPr>
      </w:pPr>
      <w:r>
        <w:rPr>
          <w:rFonts w:hint="eastAsia" w:ascii="仿宋" w:hAnsi="仿宋" w:eastAsia="仿宋" w:cs="宋体"/>
          <w:sz w:val="24"/>
        </w:rPr>
        <w:t>（</w:t>
      </w:r>
      <w:r>
        <w:rPr>
          <w:rFonts w:ascii="仿宋" w:hAnsi="仿宋" w:eastAsia="仿宋" w:cs="宋体"/>
          <w:sz w:val="24"/>
        </w:rPr>
        <w:t>2</w:t>
      </w:r>
      <w:r>
        <w:rPr>
          <w:rFonts w:hint="eastAsia" w:ascii="仿宋" w:hAnsi="仿宋" w:eastAsia="仿宋" w:cs="宋体"/>
          <w:sz w:val="24"/>
        </w:rPr>
        <w:t>）2个三级等级保护测评服务：广州市政府值班值守系统，广州市政府办公厅政务督办信息管理系统。</w:t>
      </w:r>
    </w:p>
    <w:p w14:paraId="5DAF84D5">
      <w:pPr>
        <w:spacing w:line="360" w:lineRule="auto"/>
        <w:ind w:firstLine="480"/>
        <w:rPr>
          <w:rFonts w:hint="eastAsia" w:ascii="仿宋" w:hAnsi="仿宋" w:eastAsia="仿宋" w:cs="宋体"/>
          <w:sz w:val="24"/>
        </w:rPr>
      </w:pPr>
      <w:r>
        <w:rPr>
          <w:rFonts w:ascii="仿宋" w:hAnsi="仿宋" w:eastAsia="仿宋" w:cs="宋体"/>
          <w:sz w:val="24"/>
        </w:rPr>
        <w:t>（</w:t>
      </w:r>
      <w:r>
        <w:rPr>
          <w:rFonts w:hint="eastAsia" w:ascii="仿宋" w:hAnsi="仿宋" w:eastAsia="仿宋" w:cs="宋体"/>
          <w:sz w:val="24"/>
        </w:rPr>
        <w:t>3</w:t>
      </w:r>
      <w:r>
        <w:rPr>
          <w:rFonts w:ascii="仿宋" w:hAnsi="仿宋" w:eastAsia="仿宋" w:cs="宋体"/>
          <w:sz w:val="24"/>
        </w:rPr>
        <w:t>）</w:t>
      </w:r>
      <w:r>
        <w:rPr>
          <w:rFonts w:hint="eastAsia" w:ascii="仿宋" w:hAnsi="仿宋" w:eastAsia="仿宋" w:cs="宋体"/>
          <w:sz w:val="24"/>
        </w:rPr>
        <w:t>2个三级商用密码应用测评：广州市政府值班值守系统，广州市政府办公厅政务督办信息管理系统。</w:t>
      </w:r>
    </w:p>
    <w:p w14:paraId="7DC9BF3B">
      <w:pPr>
        <w:spacing w:line="360" w:lineRule="auto"/>
        <w:ind w:firstLine="480"/>
        <w:rPr>
          <w:rFonts w:hint="eastAsia" w:ascii="仿宋" w:hAnsi="仿宋" w:eastAsia="仿宋" w:cs="宋体"/>
          <w:sz w:val="24"/>
        </w:rPr>
      </w:pPr>
      <w:r>
        <w:rPr>
          <w:rFonts w:hint="eastAsia" w:ascii="仿宋" w:hAnsi="仿宋" w:eastAsia="仿宋" w:cs="宋体"/>
          <w:sz w:val="24"/>
        </w:rPr>
        <w:t>中标人需对采购人的应用系统开展等级保护测评服务及商用密码安全性评估，如中标人不具备相关服务资质，可委托第三方机构。</w:t>
      </w:r>
    </w:p>
    <w:p w14:paraId="117AB73E">
      <w:pPr>
        <w:spacing w:line="360" w:lineRule="auto"/>
        <w:ind w:firstLine="480"/>
        <w:rPr>
          <w:rFonts w:hint="eastAsia" w:ascii="仿宋" w:hAnsi="仿宋" w:eastAsia="仿宋" w:cs="宋体"/>
          <w:sz w:val="24"/>
        </w:rPr>
      </w:pPr>
      <w:r>
        <w:rPr>
          <w:rFonts w:hint="eastAsia" w:ascii="仿宋" w:hAnsi="仿宋" w:eastAsia="仿宋" w:cs="宋体"/>
          <w:sz w:val="24"/>
        </w:rPr>
        <w:t>本期项目将按照国家标准《信息安全技术 网络安全等级保护基本要求》（GB/T22239-2019）和《信息安全技术 网络安全等级保护测试评估技术指南》（GB/T36627-2018）开展信息系统的安全等级保护定级工作，按《信息安全技术 信息系统密码应用基本要求》（GB/T39786-2021）开展信息系统的商用密码安全评估工作。</w:t>
      </w:r>
    </w:p>
    <w:p w14:paraId="6D295265">
      <w:pPr>
        <w:spacing w:line="360" w:lineRule="auto"/>
        <w:ind w:firstLine="480"/>
        <w:rPr>
          <w:rFonts w:hint="eastAsia" w:ascii="仿宋" w:hAnsi="仿宋" w:eastAsia="仿宋" w:cs="宋体"/>
          <w:sz w:val="24"/>
        </w:rPr>
      </w:pPr>
      <w:r>
        <w:rPr>
          <w:rFonts w:hint="eastAsia" w:ascii="仿宋" w:hAnsi="仿宋" w:eastAsia="仿宋" w:cs="宋体"/>
          <w:sz w:val="24"/>
        </w:rPr>
        <w:t>（1）进行资料审查</w:t>
      </w:r>
    </w:p>
    <w:p w14:paraId="0F2364C8">
      <w:pPr>
        <w:spacing w:line="360" w:lineRule="auto"/>
        <w:ind w:firstLine="480"/>
        <w:rPr>
          <w:rFonts w:hint="eastAsia" w:ascii="仿宋" w:hAnsi="仿宋" w:eastAsia="仿宋" w:cs="宋体"/>
          <w:sz w:val="24"/>
        </w:rPr>
      </w:pPr>
      <w:r>
        <w:rPr>
          <w:rFonts w:hint="eastAsia" w:ascii="仿宋" w:hAnsi="仿宋" w:eastAsia="仿宋" w:cs="宋体"/>
          <w:sz w:val="24"/>
        </w:rPr>
        <w:t>1）测评机构接受采购人提供的测评委托书和测评资料；</w:t>
      </w:r>
    </w:p>
    <w:p w14:paraId="30B0A4C5">
      <w:pPr>
        <w:spacing w:line="360" w:lineRule="auto"/>
        <w:ind w:firstLine="480"/>
        <w:rPr>
          <w:rFonts w:hint="eastAsia" w:ascii="仿宋" w:hAnsi="仿宋" w:eastAsia="仿宋" w:cs="宋体"/>
          <w:sz w:val="24"/>
        </w:rPr>
      </w:pPr>
      <w:r>
        <w:rPr>
          <w:rFonts w:hint="eastAsia" w:ascii="仿宋" w:hAnsi="仿宋" w:eastAsia="仿宋" w:cs="宋体"/>
          <w:sz w:val="24"/>
        </w:rPr>
        <w:t>2）测评机构对采购人提供的测评委托书和测评资料进行形式化审查，判断是否需要补充相关资料；</w:t>
      </w:r>
    </w:p>
    <w:p w14:paraId="37D5877C">
      <w:pPr>
        <w:spacing w:line="360" w:lineRule="auto"/>
        <w:ind w:firstLine="480"/>
        <w:rPr>
          <w:rFonts w:hint="eastAsia" w:ascii="仿宋" w:hAnsi="仿宋" w:eastAsia="仿宋" w:cs="宋体"/>
          <w:sz w:val="24"/>
        </w:rPr>
      </w:pPr>
      <w:r>
        <w:rPr>
          <w:rFonts w:hint="eastAsia" w:ascii="仿宋" w:hAnsi="仿宋" w:eastAsia="仿宋" w:cs="宋体"/>
          <w:sz w:val="24"/>
        </w:rPr>
        <w:t>（2）完成核查测试</w:t>
      </w:r>
    </w:p>
    <w:p w14:paraId="6819C617">
      <w:pPr>
        <w:spacing w:line="360" w:lineRule="auto"/>
        <w:ind w:firstLine="480"/>
        <w:rPr>
          <w:rFonts w:hint="eastAsia" w:ascii="仿宋" w:hAnsi="仿宋" w:eastAsia="仿宋" w:cs="宋体"/>
          <w:sz w:val="24"/>
        </w:rPr>
      </w:pPr>
      <w:r>
        <w:rPr>
          <w:rFonts w:hint="eastAsia" w:ascii="仿宋" w:hAnsi="仿宋" w:eastAsia="仿宋" w:cs="宋体"/>
          <w:sz w:val="24"/>
        </w:rPr>
        <w:t>测评机构依据采购人提供的资料、评估机构实地调研资料、定级报告及测评报告等制定。</w:t>
      </w:r>
    </w:p>
    <w:p w14:paraId="24484B34">
      <w:pPr>
        <w:spacing w:line="360" w:lineRule="auto"/>
        <w:ind w:firstLine="480"/>
        <w:rPr>
          <w:rFonts w:hint="eastAsia" w:ascii="仿宋" w:hAnsi="仿宋" w:eastAsia="仿宋" w:cs="宋体"/>
          <w:sz w:val="24"/>
        </w:rPr>
      </w:pPr>
      <w:r>
        <w:rPr>
          <w:rFonts w:hint="eastAsia" w:ascii="仿宋" w:hAnsi="仿宋" w:eastAsia="仿宋" w:cs="宋体"/>
          <w:sz w:val="24"/>
        </w:rPr>
        <w:t>1）系统测评计划；</w:t>
      </w:r>
    </w:p>
    <w:p w14:paraId="3315C65A">
      <w:pPr>
        <w:spacing w:line="360" w:lineRule="auto"/>
        <w:ind w:firstLine="480"/>
        <w:rPr>
          <w:rFonts w:hint="eastAsia" w:ascii="仿宋" w:hAnsi="仿宋" w:eastAsia="仿宋" w:cs="宋体"/>
          <w:sz w:val="24"/>
        </w:rPr>
      </w:pPr>
      <w:r>
        <w:rPr>
          <w:rFonts w:hint="eastAsia" w:ascii="仿宋" w:hAnsi="仿宋" w:eastAsia="仿宋" w:cs="宋体"/>
          <w:sz w:val="24"/>
        </w:rPr>
        <w:t>2）依据测评计划制定评估测评方案；</w:t>
      </w:r>
    </w:p>
    <w:p w14:paraId="51B5A6B2">
      <w:pPr>
        <w:spacing w:line="360" w:lineRule="auto"/>
        <w:ind w:firstLine="480"/>
        <w:rPr>
          <w:rFonts w:hint="eastAsia" w:ascii="仿宋" w:hAnsi="仿宋" w:eastAsia="仿宋" w:cs="宋体"/>
          <w:sz w:val="24"/>
        </w:rPr>
      </w:pPr>
      <w:r>
        <w:rPr>
          <w:rFonts w:hint="eastAsia" w:ascii="仿宋" w:hAnsi="仿宋" w:eastAsia="仿宋" w:cs="宋体"/>
          <w:sz w:val="24"/>
        </w:rPr>
        <w:t>3）依据测评方案实施现场核查测试；</w:t>
      </w:r>
    </w:p>
    <w:p w14:paraId="5B3439C9">
      <w:pPr>
        <w:spacing w:line="360" w:lineRule="auto"/>
        <w:ind w:firstLine="480"/>
        <w:rPr>
          <w:rFonts w:hint="eastAsia" w:ascii="仿宋" w:hAnsi="仿宋" w:eastAsia="仿宋" w:cs="宋体"/>
          <w:sz w:val="24"/>
        </w:rPr>
      </w:pPr>
      <w:r>
        <w:rPr>
          <w:rFonts w:hint="eastAsia" w:ascii="仿宋" w:hAnsi="仿宋" w:eastAsia="仿宋" w:cs="宋体"/>
          <w:sz w:val="24"/>
        </w:rPr>
        <w:t>4）对核查测试结果进行数据整理记录，并形成核查测试报告。</w:t>
      </w:r>
    </w:p>
    <w:p w14:paraId="56613526">
      <w:pPr>
        <w:spacing w:line="360" w:lineRule="auto"/>
        <w:ind w:firstLine="480"/>
        <w:rPr>
          <w:rFonts w:hint="eastAsia" w:ascii="仿宋" w:hAnsi="仿宋" w:eastAsia="仿宋" w:cs="宋体"/>
          <w:sz w:val="24"/>
        </w:rPr>
      </w:pPr>
      <w:r>
        <w:rPr>
          <w:rFonts w:hint="eastAsia" w:ascii="仿宋" w:hAnsi="仿宋" w:eastAsia="仿宋" w:cs="宋体"/>
          <w:sz w:val="24"/>
        </w:rPr>
        <w:t>（3）完成综合评估</w:t>
      </w:r>
    </w:p>
    <w:p w14:paraId="06BC2A69">
      <w:pPr>
        <w:spacing w:line="360" w:lineRule="auto"/>
        <w:ind w:firstLine="480"/>
        <w:rPr>
          <w:rFonts w:hint="eastAsia" w:ascii="仿宋" w:hAnsi="仿宋" w:eastAsia="仿宋" w:cs="宋体"/>
          <w:sz w:val="24"/>
        </w:rPr>
      </w:pPr>
      <w:r>
        <w:rPr>
          <w:rFonts w:hint="eastAsia" w:ascii="仿宋" w:hAnsi="仿宋" w:eastAsia="仿宋" w:cs="宋体"/>
          <w:sz w:val="24"/>
        </w:rPr>
        <w:t>1）对用户资料，评估机构实地调研资料和测试报告进行综合分析，形成分析意见；</w:t>
      </w:r>
    </w:p>
    <w:p w14:paraId="329EC131">
      <w:pPr>
        <w:spacing w:line="360" w:lineRule="auto"/>
        <w:ind w:firstLine="480"/>
        <w:rPr>
          <w:rFonts w:hint="eastAsia" w:ascii="仿宋" w:hAnsi="仿宋" w:eastAsia="仿宋" w:cs="宋体"/>
          <w:sz w:val="24"/>
        </w:rPr>
      </w:pPr>
      <w:r>
        <w:rPr>
          <w:rFonts w:hint="eastAsia" w:ascii="仿宋" w:hAnsi="仿宋" w:eastAsia="仿宋" w:cs="宋体"/>
          <w:sz w:val="24"/>
        </w:rPr>
        <w:t>2）就分析意见与采购人沟通确认，最终形成测评报告；</w:t>
      </w:r>
    </w:p>
    <w:p w14:paraId="3943BE39">
      <w:pPr>
        <w:spacing w:line="360" w:lineRule="auto"/>
        <w:ind w:firstLine="480"/>
        <w:rPr>
          <w:rFonts w:hint="eastAsia" w:ascii="仿宋" w:hAnsi="仿宋" w:eastAsia="仿宋" w:cs="宋体"/>
          <w:sz w:val="24"/>
        </w:rPr>
      </w:pPr>
      <w:r>
        <w:rPr>
          <w:rFonts w:hint="eastAsia" w:ascii="仿宋" w:hAnsi="仿宋" w:eastAsia="仿宋" w:cs="宋体"/>
          <w:sz w:val="24"/>
        </w:rPr>
        <w:t>3）对测评报告进行审定；</w:t>
      </w:r>
    </w:p>
    <w:p w14:paraId="7A85ABDC">
      <w:pPr>
        <w:spacing w:line="360" w:lineRule="auto"/>
        <w:ind w:firstLine="480"/>
        <w:rPr>
          <w:rFonts w:hint="eastAsia" w:ascii="仿宋" w:hAnsi="仿宋" w:eastAsia="仿宋" w:cs="宋体"/>
          <w:sz w:val="24"/>
        </w:rPr>
      </w:pPr>
      <w:r>
        <w:rPr>
          <w:rFonts w:hint="eastAsia" w:ascii="仿宋" w:hAnsi="仿宋" w:eastAsia="仿宋" w:cs="宋体"/>
          <w:sz w:val="24"/>
        </w:rPr>
        <w:t>4）出具最终信息系统《网络安全等级保护等级测评报告》或《商用密码应用安全性评估报告》。</w:t>
      </w:r>
    </w:p>
    <w:p w14:paraId="74646B70">
      <w:pPr>
        <w:spacing w:line="360" w:lineRule="auto"/>
        <w:ind w:firstLine="480"/>
        <w:rPr>
          <w:rFonts w:hint="eastAsia" w:ascii="仿宋" w:hAnsi="仿宋" w:eastAsia="仿宋" w:cs="宋体"/>
          <w:sz w:val="24"/>
        </w:rPr>
      </w:pPr>
      <w:r>
        <w:rPr>
          <w:rFonts w:hint="eastAsia" w:ascii="仿宋" w:hAnsi="仿宋" w:eastAsia="仿宋" w:cs="宋体"/>
          <w:sz w:val="24"/>
        </w:rPr>
        <w:t>（4）提交文件及备案</w:t>
      </w:r>
    </w:p>
    <w:p w14:paraId="7C9E4C49">
      <w:pPr>
        <w:spacing w:line="360" w:lineRule="auto"/>
        <w:ind w:firstLine="480"/>
        <w:rPr>
          <w:rFonts w:hint="eastAsia" w:ascii="仿宋" w:hAnsi="仿宋" w:eastAsia="仿宋" w:cs="宋体"/>
          <w:sz w:val="24"/>
        </w:rPr>
      </w:pPr>
      <w:r>
        <w:rPr>
          <w:rFonts w:hint="eastAsia" w:ascii="仿宋" w:hAnsi="仿宋" w:eastAsia="仿宋" w:cs="宋体"/>
          <w:sz w:val="24"/>
        </w:rPr>
        <w:t>向主管单位提交测评报告及相关的备案信息表，通过公安机关信息安全等级保护办公室测评备案，通过密码管理局的密码应用测评备案，提交备案回执。</w:t>
      </w:r>
    </w:p>
    <w:p w14:paraId="5474B976">
      <w:pPr>
        <w:pStyle w:val="5"/>
        <w:rPr>
          <w:rStyle w:val="16"/>
          <w:rFonts w:hint="eastAsia" w:ascii="仿宋" w:hAnsi="仿宋" w:eastAsia="仿宋" w:cs="宋体"/>
          <w:sz w:val="24"/>
          <w:szCs w:val="24"/>
        </w:rPr>
      </w:pPr>
      <w:r>
        <w:rPr>
          <w:rStyle w:val="16"/>
          <w:rFonts w:hint="eastAsia" w:ascii="仿宋" w:hAnsi="仿宋" w:eastAsia="仿宋" w:cs="宋体"/>
          <w:sz w:val="24"/>
          <w:szCs w:val="24"/>
        </w:rPr>
        <w:t>相关证书服务</w:t>
      </w:r>
    </w:p>
    <w:p w14:paraId="78AA03FF">
      <w:pPr>
        <w:spacing w:line="360" w:lineRule="auto"/>
        <w:ind w:firstLine="480"/>
        <w:rPr>
          <w:rFonts w:hint="eastAsia" w:ascii="仿宋" w:hAnsi="仿宋" w:eastAsia="仿宋" w:cs="宋体"/>
          <w:sz w:val="24"/>
        </w:rPr>
      </w:pPr>
      <w:r>
        <w:rPr>
          <w:rFonts w:ascii="仿宋" w:hAnsi="仿宋" w:eastAsia="仿宋" w:cs="宋体"/>
          <w:sz w:val="24"/>
        </w:rPr>
        <w:t>本项目</w:t>
      </w:r>
      <w:r>
        <w:rPr>
          <w:rFonts w:hint="eastAsia" w:ascii="仿宋" w:hAnsi="仿宋" w:eastAsia="仿宋" w:cs="宋体"/>
          <w:sz w:val="24"/>
        </w:rPr>
        <w:t>还需采购相关证书。</w:t>
      </w:r>
    </w:p>
    <w:tbl>
      <w:tblPr>
        <w:tblStyle w:val="10"/>
        <w:tblW w:w="0" w:type="auto"/>
        <w:tblInd w:w="0" w:type="dxa"/>
        <w:tblLayout w:type="autofit"/>
        <w:tblCellMar>
          <w:top w:w="0" w:type="dxa"/>
          <w:left w:w="108" w:type="dxa"/>
          <w:bottom w:w="0" w:type="dxa"/>
          <w:right w:w="108" w:type="dxa"/>
        </w:tblCellMar>
      </w:tblPr>
      <w:tblGrid>
        <w:gridCol w:w="658"/>
        <w:gridCol w:w="2416"/>
        <w:gridCol w:w="3461"/>
        <w:gridCol w:w="658"/>
      </w:tblGrid>
      <w:tr w14:paraId="5BA837C2">
        <w:tblPrEx>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40F3A17">
            <w:pPr>
              <w:widowControl/>
              <w:jc w:val="center"/>
              <w:rPr>
                <w:rFonts w:hint="eastAsia" w:ascii="仿宋" w:hAnsi="仿宋" w:eastAsia="仿宋" w:cs="宋体"/>
                <w:b/>
                <w:bCs/>
                <w:color w:val="000000"/>
                <w:kern w:val="0"/>
                <w:sz w:val="22"/>
                <w:szCs w:val="22"/>
              </w:rPr>
            </w:pPr>
            <w:r>
              <w:rPr>
                <w:rFonts w:hint="eastAsia" w:ascii="仿宋" w:hAnsi="仿宋" w:eastAsia="仿宋" w:cs="宋体"/>
                <w:b/>
                <w:bCs/>
                <w:color w:val="000000"/>
                <w:kern w:val="0"/>
                <w:sz w:val="22"/>
                <w:szCs w:val="22"/>
              </w:rPr>
              <w:t>序号</w:t>
            </w:r>
          </w:p>
        </w:tc>
        <w:tc>
          <w:tcPr>
            <w:tcW w:w="0" w:type="auto"/>
            <w:tcBorders>
              <w:top w:val="single" w:color="auto" w:sz="4" w:space="0"/>
              <w:left w:val="nil"/>
              <w:bottom w:val="single" w:color="auto" w:sz="4" w:space="0"/>
              <w:right w:val="single" w:color="auto" w:sz="4" w:space="0"/>
            </w:tcBorders>
            <w:noWrap/>
            <w:vAlign w:val="center"/>
          </w:tcPr>
          <w:p w14:paraId="44737323">
            <w:pPr>
              <w:widowControl/>
              <w:jc w:val="center"/>
              <w:rPr>
                <w:rFonts w:hint="eastAsia" w:ascii="仿宋" w:hAnsi="仿宋" w:eastAsia="仿宋" w:cs="宋体"/>
                <w:b/>
                <w:bCs/>
                <w:color w:val="000000"/>
                <w:kern w:val="0"/>
                <w:sz w:val="22"/>
                <w:szCs w:val="22"/>
              </w:rPr>
            </w:pPr>
            <w:r>
              <w:rPr>
                <w:rFonts w:hint="eastAsia" w:ascii="仿宋" w:hAnsi="仿宋" w:eastAsia="仿宋" w:cs="宋体"/>
                <w:b/>
                <w:bCs/>
                <w:color w:val="000000"/>
                <w:kern w:val="0"/>
                <w:sz w:val="22"/>
                <w:szCs w:val="22"/>
              </w:rPr>
              <w:t>安全服务内容</w:t>
            </w:r>
          </w:p>
        </w:tc>
        <w:tc>
          <w:tcPr>
            <w:tcW w:w="0" w:type="auto"/>
            <w:tcBorders>
              <w:top w:val="single" w:color="auto" w:sz="4" w:space="0"/>
              <w:left w:val="nil"/>
              <w:bottom w:val="single" w:color="auto" w:sz="4" w:space="0"/>
              <w:right w:val="single" w:color="auto" w:sz="4" w:space="0"/>
            </w:tcBorders>
            <w:noWrap/>
            <w:vAlign w:val="center"/>
          </w:tcPr>
          <w:p w14:paraId="42A2F91E">
            <w:pPr>
              <w:widowControl/>
              <w:jc w:val="center"/>
              <w:rPr>
                <w:rFonts w:hint="eastAsia" w:ascii="仿宋" w:hAnsi="仿宋" w:eastAsia="仿宋" w:cs="宋体"/>
                <w:b/>
                <w:bCs/>
                <w:color w:val="000000"/>
                <w:kern w:val="0"/>
                <w:sz w:val="22"/>
                <w:szCs w:val="22"/>
              </w:rPr>
            </w:pPr>
            <w:r>
              <w:rPr>
                <w:rFonts w:hint="eastAsia" w:ascii="仿宋" w:hAnsi="仿宋" w:eastAsia="仿宋" w:cs="宋体"/>
                <w:b/>
                <w:bCs/>
                <w:color w:val="000000"/>
                <w:kern w:val="0"/>
                <w:sz w:val="22"/>
                <w:szCs w:val="22"/>
              </w:rPr>
              <w:t>服务要求</w:t>
            </w:r>
          </w:p>
        </w:tc>
        <w:tc>
          <w:tcPr>
            <w:tcW w:w="0" w:type="auto"/>
            <w:tcBorders>
              <w:top w:val="single" w:color="auto" w:sz="4" w:space="0"/>
              <w:left w:val="nil"/>
              <w:bottom w:val="single" w:color="auto" w:sz="4" w:space="0"/>
              <w:right w:val="single" w:color="auto" w:sz="4" w:space="0"/>
            </w:tcBorders>
            <w:noWrap/>
            <w:vAlign w:val="center"/>
          </w:tcPr>
          <w:p w14:paraId="21E9B631">
            <w:pPr>
              <w:widowControl/>
              <w:jc w:val="center"/>
              <w:rPr>
                <w:rFonts w:hint="eastAsia" w:ascii="仿宋" w:hAnsi="仿宋" w:eastAsia="仿宋" w:cs="宋体"/>
                <w:b/>
                <w:bCs/>
                <w:color w:val="000000"/>
                <w:kern w:val="0"/>
                <w:sz w:val="22"/>
                <w:szCs w:val="22"/>
              </w:rPr>
            </w:pPr>
            <w:r>
              <w:rPr>
                <w:rFonts w:hint="eastAsia" w:ascii="仿宋" w:hAnsi="仿宋" w:eastAsia="仿宋" w:cs="宋体"/>
                <w:b/>
                <w:bCs/>
                <w:color w:val="000000"/>
                <w:kern w:val="0"/>
                <w:sz w:val="22"/>
                <w:szCs w:val="22"/>
              </w:rPr>
              <w:t>备注</w:t>
            </w:r>
          </w:p>
        </w:tc>
      </w:tr>
      <w:tr w14:paraId="6969904A">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vAlign w:val="center"/>
          </w:tcPr>
          <w:p w14:paraId="34BBB799">
            <w:pPr>
              <w:widowControl/>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1</w:t>
            </w:r>
          </w:p>
        </w:tc>
        <w:tc>
          <w:tcPr>
            <w:tcW w:w="0" w:type="auto"/>
            <w:tcBorders>
              <w:top w:val="nil"/>
              <w:left w:val="nil"/>
              <w:bottom w:val="single" w:color="auto" w:sz="4" w:space="0"/>
              <w:right w:val="single" w:color="auto" w:sz="4" w:space="0"/>
            </w:tcBorders>
            <w:vAlign w:val="center"/>
          </w:tcPr>
          <w:p w14:paraId="280DA41B">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国密SSL证书授权</w:t>
            </w:r>
          </w:p>
        </w:tc>
        <w:tc>
          <w:tcPr>
            <w:tcW w:w="0" w:type="auto"/>
            <w:tcBorders>
              <w:top w:val="nil"/>
              <w:left w:val="nil"/>
              <w:bottom w:val="single" w:color="auto" w:sz="4" w:space="0"/>
              <w:right w:val="single" w:color="auto" w:sz="4" w:space="0"/>
            </w:tcBorders>
            <w:vAlign w:val="center"/>
          </w:tcPr>
          <w:p w14:paraId="2C7F4EA4">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国密域名型证书1年授权，1年</w:t>
            </w:r>
          </w:p>
        </w:tc>
        <w:tc>
          <w:tcPr>
            <w:tcW w:w="0" w:type="auto"/>
            <w:tcBorders>
              <w:top w:val="nil"/>
              <w:left w:val="nil"/>
              <w:bottom w:val="single" w:color="auto" w:sz="4" w:space="0"/>
              <w:right w:val="single" w:color="auto" w:sz="4" w:space="0"/>
            </w:tcBorders>
            <w:vAlign w:val="center"/>
          </w:tcPr>
          <w:p w14:paraId="2F5673C9">
            <w:pPr>
              <w:widowControl/>
              <w:jc w:val="left"/>
              <w:rPr>
                <w:rFonts w:hint="eastAsia" w:ascii="仿宋" w:hAnsi="仿宋" w:eastAsia="仿宋" w:cs="宋体"/>
                <w:color w:val="000000"/>
                <w:kern w:val="0"/>
                <w:sz w:val="22"/>
                <w:szCs w:val="22"/>
              </w:rPr>
            </w:pPr>
          </w:p>
        </w:tc>
      </w:tr>
      <w:tr w14:paraId="616CBCE2">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vAlign w:val="center"/>
          </w:tcPr>
          <w:p w14:paraId="08705DB8">
            <w:pPr>
              <w:widowControl/>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2</w:t>
            </w:r>
          </w:p>
        </w:tc>
        <w:tc>
          <w:tcPr>
            <w:tcW w:w="0" w:type="auto"/>
            <w:tcBorders>
              <w:top w:val="nil"/>
              <w:left w:val="nil"/>
              <w:bottom w:val="single" w:color="auto" w:sz="4" w:space="0"/>
              <w:right w:val="single" w:color="auto" w:sz="4" w:space="0"/>
            </w:tcBorders>
            <w:vAlign w:val="center"/>
          </w:tcPr>
          <w:p w14:paraId="12559DB9">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国际标准SSL证书授权</w:t>
            </w:r>
          </w:p>
        </w:tc>
        <w:tc>
          <w:tcPr>
            <w:tcW w:w="0" w:type="auto"/>
            <w:tcBorders>
              <w:top w:val="nil"/>
              <w:left w:val="nil"/>
              <w:bottom w:val="single" w:color="auto" w:sz="4" w:space="0"/>
              <w:right w:val="single" w:color="auto" w:sz="4" w:space="0"/>
            </w:tcBorders>
            <w:vAlign w:val="center"/>
          </w:tcPr>
          <w:p w14:paraId="55246E34">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国际标准SSL证书1年授权，1年</w:t>
            </w:r>
          </w:p>
        </w:tc>
        <w:tc>
          <w:tcPr>
            <w:tcW w:w="0" w:type="auto"/>
            <w:tcBorders>
              <w:top w:val="nil"/>
              <w:left w:val="nil"/>
              <w:bottom w:val="single" w:color="auto" w:sz="4" w:space="0"/>
              <w:right w:val="single" w:color="auto" w:sz="4" w:space="0"/>
            </w:tcBorders>
            <w:vAlign w:val="center"/>
          </w:tcPr>
          <w:p w14:paraId="71DC566A">
            <w:pPr>
              <w:widowControl/>
              <w:jc w:val="left"/>
              <w:rPr>
                <w:rFonts w:hint="eastAsia" w:ascii="仿宋" w:hAnsi="仿宋" w:eastAsia="仿宋" w:cs="宋体"/>
                <w:color w:val="000000"/>
                <w:kern w:val="0"/>
                <w:sz w:val="22"/>
                <w:szCs w:val="22"/>
              </w:rPr>
            </w:pPr>
          </w:p>
        </w:tc>
      </w:tr>
      <w:tr w14:paraId="2FF6506D">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vAlign w:val="center"/>
          </w:tcPr>
          <w:p w14:paraId="57E9050B">
            <w:pPr>
              <w:widowControl/>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3</w:t>
            </w:r>
          </w:p>
        </w:tc>
        <w:tc>
          <w:tcPr>
            <w:tcW w:w="0" w:type="auto"/>
            <w:tcBorders>
              <w:top w:val="nil"/>
              <w:left w:val="nil"/>
              <w:bottom w:val="single" w:color="auto" w:sz="4" w:space="0"/>
              <w:right w:val="single" w:color="auto" w:sz="4" w:space="0"/>
            </w:tcBorders>
            <w:vAlign w:val="center"/>
          </w:tcPr>
          <w:p w14:paraId="26564EA5">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CA证书</w:t>
            </w:r>
          </w:p>
        </w:tc>
        <w:tc>
          <w:tcPr>
            <w:tcW w:w="0" w:type="auto"/>
            <w:tcBorders>
              <w:top w:val="nil"/>
              <w:left w:val="nil"/>
              <w:bottom w:val="single" w:color="auto" w:sz="4" w:space="0"/>
              <w:right w:val="single" w:color="auto" w:sz="4" w:space="0"/>
            </w:tcBorders>
            <w:vAlign w:val="center"/>
          </w:tcPr>
          <w:p w14:paraId="7202E5BA">
            <w:pPr>
              <w:widowControl/>
              <w:jc w:val="left"/>
              <w:rPr>
                <w:rFonts w:hint="eastAsia" w:ascii="仿宋" w:hAnsi="仿宋" w:eastAsia="仿宋" w:cs="宋体"/>
                <w:color w:val="000000"/>
                <w:kern w:val="0"/>
                <w:sz w:val="22"/>
                <w:szCs w:val="22"/>
              </w:rPr>
            </w:pPr>
            <w:r>
              <w:rPr>
                <w:rFonts w:ascii="仿宋" w:hAnsi="仿宋" w:eastAsia="仿宋" w:cs="宋体"/>
                <w:color w:val="000000"/>
                <w:kern w:val="0"/>
                <w:sz w:val="22"/>
                <w:szCs w:val="22"/>
              </w:rPr>
              <w:t>3</w:t>
            </w:r>
            <w:r>
              <w:rPr>
                <w:rFonts w:hint="eastAsia" w:ascii="仿宋" w:hAnsi="仿宋" w:eastAsia="仿宋" w:cs="宋体"/>
                <w:color w:val="000000"/>
                <w:kern w:val="0"/>
                <w:sz w:val="22"/>
                <w:szCs w:val="22"/>
              </w:rPr>
              <w:t>00套CA证书授权，1年</w:t>
            </w:r>
          </w:p>
        </w:tc>
        <w:tc>
          <w:tcPr>
            <w:tcW w:w="0" w:type="auto"/>
            <w:tcBorders>
              <w:top w:val="nil"/>
              <w:left w:val="nil"/>
              <w:bottom w:val="single" w:color="auto" w:sz="4" w:space="0"/>
              <w:right w:val="single" w:color="auto" w:sz="4" w:space="0"/>
            </w:tcBorders>
            <w:vAlign w:val="center"/>
          </w:tcPr>
          <w:p w14:paraId="75A93693">
            <w:pPr>
              <w:widowControl/>
              <w:jc w:val="left"/>
              <w:rPr>
                <w:rFonts w:hint="eastAsia" w:ascii="仿宋" w:hAnsi="仿宋" w:eastAsia="仿宋" w:cs="宋体"/>
                <w:color w:val="000000"/>
                <w:kern w:val="0"/>
                <w:sz w:val="22"/>
                <w:szCs w:val="22"/>
              </w:rPr>
            </w:pPr>
          </w:p>
        </w:tc>
      </w:tr>
      <w:tr w14:paraId="34B87C03">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vAlign w:val="center"/>
          </w:tcPr>
          <w:p w14:paraId="2AC8F31F">
            <w:pPr>
              <w:widowControl/>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4</w:t>
            </w:r>
          </w:p>
        </w:tc>
        <w:tc>
          <w:tcPr>
            <w:tcW w:w="0" w:type="auto"/>
            <w:tcBorders>
              <w:top w:val="nil"/>
              <w:left w:val="nil"/>
              <w:bottom w:val="single" w:color="auto" w:sz="4" w:space="0"/>
              <w:right w:val="single" w:color="auto" w:sz="4" w:space="0"/>
            </w:tcBorders>
            <w:vAlign w:val="center"/>
          </w:tcPr>
          <w:p w14:paraId="4634AF6D">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安全虚拟云桌面</w:t>
            </w:r>
          </w:p>
        </w:tc>
        <w:tc>
          <w:tcPr>
            <w:tcW w:w="0" w:type="auto"/>
            <w:tcBorders>
              <w:top w:val="nil"/>
              <w:left w:val="nil"/>
              <w:bottom w:val="single" w:color="auto" w:sz="4" w:space="0"/>
              <w:right w:val="single" w:color="auto" w:sz="4" w:space="0"/>
            </w:tcBorders>
            <w:vAlign w:val="center"/>
          </w:tcPr>
          <w:p w14:paraId="7063A296">
            <w:pPr>
              <w:widowControl/>
              <w:jc w:val="left"/>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使用授权（不低于230个账号）</w:t>
            </w:r>
          </w:p>
        </w:tc>
        <w:tc>
          <w:tcPr>
            <w:tcW w:w="0" w:type="auto"/>
            <w:tcBorders>
              <w:top w:val="nil"/>
              <w:left w:val="nil"/>
              <w:bottom w:val="single" w:color="auto" w:sz="4" w:space="0"/>
              <w:right w:val="single" w:color="auto" w:sz="4" w:space="0"/>
            </w:tcBorders>
            <w:vAlign w:val="center"/>
          </w:tcPr>
          <w:p w14:paraId="34947995">
            <w:pPr>
              <w:widowControl/>
              <w:jc w:val="left"/>
              <w:rPr>
                <w:rFonts w:hint="eastAsia" w:ascii="仿宋" w:hAnsi="仿宋" w:eastAsia="仿宋" w:cs="宋体"/>
                <w:color w:val="000000"/>
                <w:kern w:val="0"/>
                <w:sz w:val="22"/>
                <w:szCs w:val="22"/>
              </w:rPr>
            </w:pPr>
          </w:p>
        </w:tc>
      </w:tr>
    </w:tbl>
    <w:p w14:paraId="1210949F">
      <w:pPr>
        <w:spacing w:line="360" w:lineRule="auto"/>
        <w:ind w:firstLine="480"/>
        <w:rPr>
          <w:rFonts w:hint="eastAsia" w:ascii="仿宋" w:hAnsi="仿宋" w:eastAsia="仿宋" w:cs="宋体"/>
          <w:sz w:val="24"/>
        </w:rPr>
      </w:pPr>
      <w:r>
        <w:rPr>
          <w:rFonts w:hint="eastAsia" w:ascii="仿宋" w:hAnsi="仿宋" w:eastAsia="仿宋" w:cs="宋体"/>
          <w:sz w:val="24"/>
        </w:rPr>
        <w:t>目前，我单位共开设安全虚拟云桌面账号222个，包括个人账号及处室公共账号。平均每月有60个账号登录使用，17人同时在线。全月总计各账号平均在线时长7小时，为居家移动办公提供了有效支撑。安全虚拟云桌面未纳入信息基础设施统一运维服务，需在本项目采购授权服务及运维服务。</w:t>
      </w:r>
    </w:p>
    <w:p w14:paraId="0A843906">
      <w:pPr>
        <w:spacing w:line="360" w:lineRule="auto"/>
        <w:ind w:firstLine="480"/>
        <w:rPr>
          <w:rFonts w:hint="eastAsia" w:ascii="仿宋" w:hAnsi="仿宋" w:eastAsia="仿宋" w:cs="宋体"/>
          <w:sz w:val="24"/>
        </w:rPr>
      </w:pPr>
      <w:r>
        <w:rPr>
          <w:rFonts w:hint="eastAsia" w:ascii="仿宋" w:hAnsi="仿宋" w:eastAsia="仿宋" w:cs="宋体"/>
          <w:sz w:val="24"/>
        </w:rPr>
        <w:t>我单位已接入市党政机关内部公文平台。为贯彻落实工作秘密信息防护要求，确保工作秘密信息在传输、处理全流程中的安全可靠，同时严格履行终端安全管理职责，需为我单位工作人员统一配置数字证书。具体要求如下：服务提供方须提供</w:t>
      </w:r>
      <w:r>
        <w:rPr>
          <w:rFonts w:ascii="仿宋" w:hAnsi="仿宋" w:eastAsia="仿宋" w:cs="宋体"/>
          <w:sz w:val="24"/>
        </w:rPr>
        <w:t>3</w:t>
      </w:r>
      <w:r>
        <w:rPr>
          <w:rFonts w:hint="eastAsia" w:ascii="仿宋" w:hAnsi="仿宋" w:eastAsia="仿宋" w:cs="宋体"/>
          <w:sz w:val="24"/>
        </w:rPr>
        <w:t>00套符合国家标准的数字证书，由具备国家认证资质的第三方CA机构颁发；证书服务需支持国密算法标准，并提供完整的证书签发、更新、吊销等全生命周期管理服务；所有证书须与现有市党政机关内部公文平台实现无缝对接。</w:t>
      </w:r>
    </w:p>
    <w:p w14:paraId="10D94BF7">
      <w:pPr>
        <w:pStyle w:val="3"/>
        <w:spacing w:before="156" w:after="156"/>
        <w:jc w:val="both"/>
        <w:rPr>
          <w:rStyle w:val="16"/>
          <w:rFonts w:hint="eastAsia" w:ascii="仿宋" w:hAnsi="仿宋" w:eastAsia="仿宋" w:cs="宋体"/>
          <w:color w:val="000000"/>
          <w:szCs w:val="24"/>
        </w:rPr>
      </w:pPr>
      <w:r>
        <w:rPr>
          <w:rStyle w:val="16"/>
          <w:rFonts w:hint="eastAsia" w:ascii="仿宋" w:hAnsi="仿宋" w:eastAsia="仿宋" w:cs="宋体"/>
          <w:color w:val="000000"/>
          <w:szCs w:val="24"/>
        </w:rPr>
        <w:t>其他要求</w:t>
      </w:r>
    </w:p>
    <w:p w14:paraId="1A3A9253">
      <w:pPr>
        <w:pStyle w:val="4"/>
        <w:snapToGrid w:val="0"/>
        <w:spacing w:before="156" w:after="156"/>
        <w:rPr>
          <w:rStyle w:val="16"/>
          <w:rFonts w:hint="eastAsia" w:ascii="仿宋" w:hAnsi="仿宋" w:eastAsia="仿宋" w:cs="宋体"/>
          <w:color w:val="000000"/>
          <w:szCs w:val="24"/>
        </w:rPr>
      </w:pPr>
      <w:r>
        <w:rPr>
          <w:rStyle w:val="16"/>
          <w:rFonts w:hint="eastAsia" w:ascii="仿宋" w:hAnsi="仿宋" w:eastAsia="仿宋" w:cs="宋体"/>
          <w:color w:val="000000"/>
          <w:szCs w:val="24"/>
        </w:rPr>
        <w:t>会议汇报要求</w:t>
      </w:r>
    </w:p>
    <w:p w14:paraId="3B3871D2">
      <w:pPr>
        <w:spacing w:line="360" w:lineRule="auto"/>
        <w:ind w:firstLine="480"/>
        <w:rPr>
          <w:rFonts w:hint="eastAsia" w:ascii="仿宋" w:hAnsi="仿宋" w:eastAsia="仿宋" w:cs="宋体"/>
          <w:sz w:val="24"/>
        </w:rPr>
      </w:pPr>
      <w:r>
        <w:rPr>
          <w:rFonts w:hint="eastAsia" w:ascii="仿宋" w:hAnsi="仿宋" w:eastAsia="仿宋" w:cs="宋体"/>
          <w:sz w:val="24"/>
        </w:rPr>
        <w:t>维护期内，应定期汇报与技术交流（每月1次），对上月运维过程中出现的问题进行总结分析；结合实际情况，持续完善服务方案，并明确下一阶段的工作计划；主动识别潜在或细微隐患，做到早发现、早处置，防患于未然；介绍最新产品功能、技术演进及行业动态；分享其他用户的典型实践案例与成功经验。</w:t>
      </w:r>
    </w:p>
    <w:p w14:paraId="79A03EB9">
      <w:pPr>
        <w:spacing w:line="360" w:lineRule="auto"/>
        <w:ind w:firstLine="480"/>
        <w:rPr>
          <w:rFonts w:hint="eastAsia" w:ascii="仿宋" w:hAnsi="仿宋" w:eastAsia="仿宋" w:cs="宋体"/>
          <w:sz w:val="24"/>
        </w:rPr>
      </w:pPr>
      <w:r>
        <w:rPr>
          <w:rFonts w:hint="eastAsia" w:ascii="仿宋" w:hAnsi="仿宋" w:eastAsia="仿宋" w:cs="宋体"/>
          <w:sz w:val="24"/>
        </w:rPr>
        <w:t>如遇紧急情况，须立即启动应急响应机制，协调相关部门负责人及技术人员，无论时间与地点，及时召开紧急会议，集中资源优先处理重大故障，确保系统稳定运行和业务连续性。</w:t>
      </w:r>
    </w:p>
    <w:p w14:paraId="089BC2BD">
      <w:pPr>
        <w:pStyle w:val="4"/>
        <w:snapToGrid w:val="0"/>
        <w:spacing w:before="156" w:after="156"/>
        <w:rPr>
          <w:rStyle w:val="16"/>
          <w:rFonts w:hint="eastAsia" w:ascii="仿宋" w:hAnsi="仿宋" w:eastAsia="仿宋" w:cs="宋体"/>
          <w:color w:val="000000"/>
          <w:szCs w:val="24"/>
        </w:rPr>
      </w:pPr>
      <w:r>
        <w:rPr>
          <w:rStyle w:val="16"/>
          <w:rFonts w:hint="eastAsia" w:ascii="仿宋" w:hAnsi="仿宋" w:eastAsia="仿宋" w:cs="宋体"/>
          <w:color w:val="000000"/>
          <w:szCs w:val="24"/>
        </w:rPr>
        <w:t>运维团队要求</w:t>
      </w:r>
    </w:p>
    <w:p w14:paraId="3EE1639A">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中标人需组建一支运维团队，并在采购人的领导下开展工作。运维团队的职责与分工如下：</w:t>
      </w:r>
    </w:p>
    <w:p w14:paraId="608B3AA2">
      <w:pPr>
        <w:pStyle w:val="15"/>
        <w:spacing w:line="360" w:lineRule="auto"/>
        <w:ind w:firstLine="480" w:firstLineChars="200"/>
        <w:rPr>
          <w:rStyle w:val="16"/>
          <w:rFonts w:hint="eastAsia" w:ascii="仿宋" w:hAnsi="仿宋" w:eastAsia="仿宋" w:cs="宋体"/>
          <w:color w:val="000000"/>
          <w:sz w:val="24"/>
        </w:rPr>
      </w:pPr>
      <w:r>
        <w:rPr>
          <w:rStyle w:val="16"/>
          <w:rFonts w:ascii="仿宋" w:hAnsi="仿宋" w:eastAsia="仿宋" w:cs="宋体"/>
          <w:color w:val="000000"/>
          <w:sz w:val="24"/>
        </w:rPr>
        <w:t>项目经理：全权负责日常运维管理工作，包括但不限于管理工作的流程、执行情况监督、紧急事件协调等。确保各运维服务的质量和完成度，对存在的问题及时整改。每月提交运维工作的评估报告给采购人，并由采购人核定最终绩效。</w:t>
      </w:r>
    </w:p>
    <w:p w14:paraId="07E33821">
      <w:pPr>
        <w:pStyle w:val="15"/>
        <w:spacing w:line="360" w:lineRule="auto"/>
        <w:rPr>
          <w:rStyle w:val="16"/>
          <w:rFonts w:hint="eastAsia" w:ascii="仿宋" w:hAnsi="仿宋" w:eastAsia="仿宋" w:cs="宋体"/>
          <w:color w:val="000000"/>
          <w:sz w:val="24"/>
        </w:rPr>
      </w:pPr>
      <w:r>
        <w:rPr>
          <w:rStyle w:val="16"/>
          <w:rFonts w:ascii="仿宋" w:hAnsi="仿宋" w:eastAsia="仿宋" w:cs="宋体"/>
          <w:color w:val="000000"/>
          <w:sz w:val="24"/>
        </w:rPr>
        <w:t>团队成员：每位成员负责其特定运维服务管理范围内的事件接受、登记、处理、调查等工作。协助采购人完成督办和事件委派任务。</w:t>
      </w:r>
    </w:p>
    <w:p w14:paraId="6B671D6B">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服务管理规定及流程需由采购人与项目经理共同讨论制定，并报上级领导审核。对于重大问题或需要协同完成的任务，由采购人统一协调。所有事件处理方案需经采购人审核后严格执行。</w:t>
      </w:r>
    </w:p>
    <w:p w14:paraId="1F272E60">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1、团队人员配置要求如下：</w:t>
      </w:r>
      <w:r>
        <w:rPr>
          <w:rStyle w:val="16"/>
          <w:rFonts w:hint="eastAsia" w:ascii="仿宋" w:hAnsi="仿宋" w:eastAsia="仿宋" w:cs="宋体"/>
          <w:color w:val="000000"/>
          <w:sz w:val="24"/>
        </w:rPr>
        <w:t>团队包含项目经理1人，视频会议系统服务端核心设备与L</w:t>
      </w:r>
      <w:r>
        <w:rPr>
          <w:rStyle w:val="16"/>
          <w:rFonts w:ascii="仿宋" w:hAnsi="仿宋" w:eastAsia="仿宋" w:cs="宋体"/>
          <w:color w:val="000000"/>
          <w:sz w:val="24"/>
        </w:rPr>
        <w:t>ED屏维护人员、应用系统维护人员各若干名。</w:t>
      </w:r>
    </w:p>
    <w:p w14:paraId="5692C56C">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2、团队人员任职要求：</w:t>
      </w:r>
    </w:p>
    <w:p w14:paraId="3438DC99">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项目经理要求：具备计算机相关专业背景，持有信息系统项目管理师、系统架构设计师、系统分析师及系统规划与管理师等多项专业资质，并拥有丰富的项目管理实战经验。</w:t>
      </w:r>
    </w:p>
    <w:p w14:paraId="212B7220">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 xml:space="preserve"> 团队成员要求：学历背景：本科及以上学历；工作经验：3年以上相关领域技术维护经验；核心能力：具备扎实的技术功底与优秀的问题解决能力；出色的跨部门沟通协调能力；熟练掌握相关专业技术，具有高度责任心；优先条件：持有网络工程师、系统分析师、系统架构设计师、信息安全工程师或系统规划与管理师等认证资质。</w:t>
      </w:r>
    </w:p>
    <w:p w14:paraId="2B5679B2">
      <w:pPr>
        <w:pStyle w:val="15"/>
        <w:spacing w:line="360" w:lineRule="auto"/>
        <w:ind w:firstLine="480" w:firstLineChars="200"/>
        <w:rPr>
          <w:rStyle w:val="16"/>
          <w:rFonts w:hint="eastAsia" w:ascii="仿宋" w:hAnsi="仿宋" w:eastAsia="仿宋" w:cs="宋体"/>
          <w:sz w:val="24"/>
        </w:rPr>
      </w:pPr>
      <w:r>
        <w:rPr>
          <w:rStyle w:val="16"/>
          <w:rFonts w:ascii="仿宋" w:hAnsi="仿宋" w:eastAsia="仿宋" w:cs="宋体"/>
          <w:sz w:val="24"/>
        </w:rPr>
        <w:t>维护团队的服务人员必须通过</w:t>
      </w:r>
      <w:r>
        <w:rPr>
          <w:rStyle w:val="16"/>
          <w:rFonts w:hint="eastAsia" w:ascii="仿宋" w:hAnsi="仿宋" w:eastAsia="仿宋" w:cs="宋体"/>
          <w:sz w:val="24"/>
        </w:rPr>
        <w:t>采购人</w:t>
      </w:r>
      <w:r>
        <w:rPr>
          <w:rStyle w:val="16"/>
          <w:rFonts w:ascii="仿宋" w:hAnsi="仿宋" w:eastAsia="仿宋" w:cs="宋体"/>
          <w:sz w:val="24"/>
        </w:rPr>
        <w:t>的资格、资质审查和技术考核才能上岗。因人员不合格导致的任何损失由投标人承担，且替换不合格人员的费用也由投标人负责。</w:t>
      </w:r>
    </w:p>
    <w:p w14:paraId="269EB382">
      <w:pPr>
        <w:pStyle w:val="4"/>
        <w:snapToGrid w:val="0"/>
        <w:spacing w:before="156" w:after="156"/>
        <w:rPr>
          <w:rStyle w:val="16"/>
          <w:rFonts w:hint="eastAsia" w:ascii="仿宋" w:hAnsi="仿宋" w:eastAsia="仿宋" w:cs="宋体"/>
          <w:color w:val="000000"/>
          <w:szCs w:val="24"/>
        </w:rPr>
      </w:pPr>
      <w:r>
        <w:rPr>
          <w:rStyle w:val="16"/>
          <w:rFonts w:hint="eastAsia" w:ascii="仿宋" w:hAnsi="仿宋" w:eastAsia="仿宋" w:cs="宋体"/>
          <w:color w:val="000000"/>
          <w:szCs w:val="24"/>
        </w:rPr>
        <w:t>管理要求</w:t>
      </w:r>
    </w:p>
    <w:p w14:paraId="48F8E09D">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1、服务时间</w:t>
      </w:r>
    </w:p>
    <w:p w14:paraId="448331AA">
      <w:pPr>
        <w:pStyle w:val="15"/>
        <w:spacing w:line="360" w:lineRule="auto"/>
        <w:ind w:left="480"/>
        <w:rPr>
          <w:rStyle w:val="16"/>
          <w:rFonts w:hint="eastAsia" w:ascii="仿宋" w:hAnsi="仿宋" w:eastAsia="仿宋" w:cs="宋体"/>
          <w:sz w:val="24"/>
        </w:rPr>
      </w:pPr>
      <w:r>
        <w:rPr>
          <w:rStyle w:val="16"/>
          <w:rFonts w:ascii="仿宋" w:hAnsi="仿宋" w:eastAsia="仿宋" w:cs="宋体"/>
          <w:sz w:val="24"/>
        </w:rPr>
        <w:t>日常巡检：按设备与系统要求开展例行巡检，确保系统稳定运行。</w:t>
      </w:r>
    </w:p>
    <w:p w14:paraId="47016AFD">
      <w:pPr>
        <w:pStyle w:val="15"/>
        <w:spacing w:line="360" w:lineRule="auto"/>
        <w:ind w:left="480"/>
        <w:rPr>
          <w:rStyle w:val="16"/>
          <w:rFonts w:hint="eastAsia" w:ascii="仿宋" w:hAnsi="仿宋" w:eastAsia="仿宋" w:cs="宋体"/>
          <w:sz w:val="24"/>
        </w:rPr>
      </w:pPr>
      <w:r>
        <w:rPr>
          <w:rStyle w:val="16"/>
          <w:rFonts w:ascii="仿宋" w:hAnsi="仿宋" w:eastAsia="仿宋" w:cs="宋体"/>
          <w:sz w:val="24"/>
        </w:rPr>
        <w:t>后台支撑值班：提供7×24小时电话值班服务，由1名服务工程师负责接听并响应用户需求。</w:t>
      </w:r>
    </w:p>
    <w:p w14:paraId="6AE2D61E">
      <w:pPr>
        <w:pStyle w:val="15"/>
        <w:spacing w:line="360" w:lineRule="auto"/>
        <w:ind w:firstLine="480" w:firstLineChars="200"/>
        <w:rPr>
          <w:rStyle w:val="16"/>
          <w:rFonts w:hint="eastAsia" w:ascii="仿宋" w:hAnsi="仿宋" w:eastAsia="仿宋" w:cs="宋体"/>
          <w:sz w:val="24"/>
        </w:rPr>
      </w:pPr>
      <w:r>
        <w:rPr>
          <w:rStyle w:val="16"/>
          <w:rFonts w:ascii="仿宋" w:hAnsi="仿宋" w:eastAsia="仿宋" w:cs="宋体"/>
          <w:sz w:val="24"/>
        </w:rPr>
        <w:t>响应时效：具体响应时间依据各设备或系统的相关服务等级执行。</w:t>
      </w:r>
    </w:p>
    <w:p w14:paraId="4A5E93DE">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2、安全管理要求</w:t>
      </w:r>
    </w:p>
    <w:p w14:paraId="4CF22130">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1）</w:t>
      </w:r>
      <w:r>
        <w:rPr>
          <w:rStyle w:val="16"/>
          <w:rFonts w:ascii="仿宋" w:hAnsi="仿宋" w:eastAsia="仿宋" w:cs="宋体"/>
          <w:color w:val="000000"/>
          <w:sz w:val="24"/>
        </w:rPr>
        <w:t>人员政审：项目启动前，中标人须向采购人提交全体服务人员的身份及背景材料，并通过采购人组织的政治审查。</w:t>
      </w:r>
    </w:p>
    <w:p w14:paraId="10A9B380">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2）</w:t>
      </w:r>
      <w:r>
        <w:rPr>
          <w:rStyle w:val="16"/>
          <w:rFonts w:ascii="仿宋" w:hAnsi="仿宋" w:eastAsia="仿宋" w:cs="宋体"/>
          <w:color w:val="000000"/>
          <w:sz w:val="24"/>
        </w:rPr>
        <w:t>保密义务：中标人及其项目团队全体成员须签署具有法律效力的保密协议，严格遵守国家及采购人关于信息安全和数据保密的相关规定。</w:t>
      </w:r>
    </w:p>
    <w:p w14:paraId="52BEEDCB">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3、人员准入与能力要求：</w:t>
      </w:r>
    </w:p>
    <w:p w14:paraId="4CDFFF26">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1）进场审核流程：</w:t>
      </w:r>
      <w:r>
        <w:rPr>
          <w:rStyle w:val="16"/>
          <w:rFonts w:ascii="仿宋" w:hAnsi="仿宋" w:eastAsia="仿宋" w:cs="宋体"/>
          <w:color w:val="000000"/>
          <w:sz w:val="24"/>
        </w:rPr>
        <w:t>维护团队服务工程师在通过政审后，由采购人组织现场面试，重点评估其技术能力与服务经验。只有通过采购人最终审核的人员，方可进入现场开展运维工作。</w:t>
      </w:r>
    </w:p>
    <w:p w14:paraId="6D9A6ACC">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2）专业培训要求：维护人员必须经过与用户使用环境相关的专业系统或数据库的培训，自双方签订合同后，及时按要求开始展开项目实施工作。维护人员能够迅速掌握采购人相关系统的安装、调试和故障排除能力，并协助采购人的技术人员进行这些设备及系统的安装、调试和故障排除。</w:t>
      </w:r>
    </w:p>
    <w:p w14:paraId="554EC215">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3）运维经验与方案能力：维护人员要求具有信息系统维护经验，能够较快熟悉业务流程，技术细节，制定详细的维护流程和方法，要求维护方案中给出服务器维护的实施方案。</w:t>
      </w:r>
    </w:p>
    <w:p w14:paraId="505C9DDF">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4）综合素养要求：维护人员应具备良好的沟通协调能力、团队协作意识及项目管理素养，能够高效对接采购人各方需求，保障服务顺利推进。</w:t>
      </w:r>
    </w:p>
    <w:p w14:paraId="77A60D4D">
      <w:pPr>
        <w:pStyle w:val="4"/>
        <w:snapToGrid w:val="0"/>
        <w:spacing w:before="156" w:after="156"/>
        <w:rPr>
          <w:rStyle w:val="16"/>
          <w:rFonts w:hint="eastAsia" w:ascii="仿宋" w:hAnsi="仿宋" w:eastAsia="仿宋" w:cs="宋体"/>
          <w:color w:val="000000"/>
          <w:szCs w:val="24"/>
        </w:rPr>
      </w:pPr>
      <w:r>
        <w:rPr>
          <w:rStyle w:val="16"/>
          <w:rFonts w:hint="eastAsia" w:ascii="仿宋" w:hAnsi="仿宋" w:eastAsia="仿宋" w:cs="宋体"/>
          <w:color w:val="000000"/>
          <w:szCs w:val="24"/>
        </w:rPr>
        <w:t>绩效评估</w:t>
      </w:r>
    </w:p>
    <w:p w14:paraId="71E2ECC7">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绩效评估要求</w:t>
      </w:r>
    </w:p>
    <w:p w14:paraId="776C38AA">
      <w:pPr>
        <w:pStyle w:val="15"/>
        <w:spacing w:line="360" w:lineRule="auto"/>
        <w:ind w:firstLine="480" w:firstLineChars="200"/>
        <w:rPr>
          <w:rStyle w:val="16"/>
          <w:rFonts w:hint="eastAsia" w:ascii="仿宋" w:hAnsi="仿宋" w:eastAsia="仿宋" w:cs="宋体"/>
          <w:color w:val="000000"/>
          <w:sz w:val="24"/>
        </w:rPr>
      </w:pPr>
      <w:r>
        <w:rPr>
          <w:rFonts w:hint="eastAsia" w:ascii="仿宋" w:hAnsi="仿宋" w:eastAsia="仿宋" w:cs="宋体"/>
          <w:sz w:val="24"/>
        </w:rPr>
        <w:t>★</w:t>
      </w:r>
      <w:r>
        <w:rPr>
          <w:rStyle w:val="16"/>
          <w:rFonts w:hint="eastAsia" w:ascii="仿宋" w:hAnsi="仿宋" w:eastAsia="仿宋" w:cs="宋体"/>
          <w:color w:val="000000"/>
          <w:sz w:val="24"/>
        </w:rPr>
        <w:t>由采购人、监理单位组织绩效考核，对中标人的服务响应、事件处理的能力、运维文档的规范性等进行综合评估，考核主要从服务质量、运维服务合规性、能力与可持续性、客户满意度等四部分去评定。考核方式为按月进行服务质量考核，每季度进行当季月平均分计算，评出季度服务绩效考核等级，分值将按照优（100-91分），良（90-76分），中（75-61分），差（60-41分）,极差（40分及以下）划定考核等级。本项目共预设合同金额约20%作为绩效考核款，按每季度预设合同金额约5% 作为季度考核款项。等级为优，中标人获得考核款的100%；等级为良，获得80%；等级为中，获得60%；等级为差，获得40%；等级为极差，获得0%</w:t>
      </w:r>
      <w:r>
        <w:rPr>
          <w:rStyle w:val="16"/>
          <w:rFonts w:hint="eastAsia" w:ascii="仿宋" w:hAnsi="仿宋" w:eastAsia="仿宋" w:cs="宋体"/>
          <w:sz w:val="24"/>
        </w:rPr>
        <w:t>（提供承诺函，格式自拟）</w:t>
      </w:r>
      <w:r>
        <w:rPr>
          <w:rStyle w:val="16"/>
          <w:rFonts w:hint="eastAsia" w:ascii="仿宋" w:hAnsi="仿宋" w:eastAsia="仿宋" w:cs="宋体"/>
          <w:color w:val="000000"/>
          <w:sz w:val="24"/>
        </w:rPr>
        <w:t>。</w:t>
      </w:r>
    </w:p>
    <w:p w14:paraId="51E99EDD">
      <w:pPr>
        <w:pStyle w:val="15"/>
        <w:spacing w:line="360" w:lineRule="auto"/>
        <w:ind w:firstLine="480" w:firstLineChars="200"/>
        <w:rPr>
          <w:rStyle w:val="16"/>
          <w:rFonts w:hint="eastAsia" w:ascii="仿宋" w:hAnsi="仿宋" w:eastAsia="仿宋" w:cs="宋体"/>
          <w:color w:val="000000"/>
          <w:sz w:val="24"/>
        </w:rPr>
      </w:pPr>
      <w:r>
        <w:rPr>
          <w:rStyle w:val="16"/>
          <w:rFonts w:ascii="仿宋" w:hAnsi="仿宋" w:eastAsia="仿宋" w:cs="宋体"/>
          <w:color w:val="000000"/>
          <w:sz w:val="24"/>
        </w:rPr>
        <w:t>绩效考核参考</w:t>
      </w:r>
      <w:r>
        <w:rPr>
          <w:rStyle w:val="16"/>
          <w:rFonts w:hint="eastAsia" w:ascii="仿宋" w:hAnsi="仿宋" w:eastAsia="仿宋" w:cs="宋体"/>
          <w:color w:val="000000"/>
          <w:sz w:val="24"/>
        </w:rPr>
        <w:t>《广州市人民政府办公厅信息化运维项目绩效考核方案》</w:t>
      </w:r>
      <w:r>
        <w:rPr>
          <w:rStyle w:val="16"/>
          <w:rFonts w:ascii="仿宋" w:hAnsi="仿宋" w:eastAsia="仿宋" w:cs="宋体"/>
          <w:color w:val="000000"/>
          <w:sz w:val="24"/>
        </w:rPr>
        <w:t>（中标后提供）和下表进行，具体方案应在中标后与采购人沟通确认后在项目实施方案中确认。</w:t>
      </w:r>
    </w:p>
    <w:p w14:paraId="4DCEC4B7">
      <w:pPr>
        <w:pStyle w:val="15"/>
        <w:spacing w:line="360" w:lineRule="auto"/>
        <w:jc w:val="center"/>
        <w:rPr>
          <w:rStyle w:val="16"/>
          <w:rFonts w:hint="eastAsia" w:ascii="仿宋" w:hAnsi="仿宋" w:eastAsia="仿宋" w:cs="宋体"/>
          <w:color w:val="000000"/>
          <w:sz w:val="24"/>
        </w:rPr>
      </w:pPr>
      <w:r>
        <w:rPr>
          <w:rStyle w:val="16"/>
          <w:rFonts w:hint="eastAsia" w:ascii="仿宋" w:hAnsi="仿宋" w:eastAsia="仿宋" w:cs="宋体"/>
          <w:color w:val="000000"/>
          <w:sz w:val="24"/>
        </w:rPr>
        <w:t>信息化运维项目</w:t>
      </w:r>
      <w:r>
        <w:rPr>
          <w:rStyle w:val="16"/>
          <w:rFonts w:hint="eastAsia" w:ascii="仿宋" w:hAnsi="仿宋" w:eastAsia="仿宋" w:cs="宋体"/>
          <w:color w:val="000000"/>
          <w:sz w:val="24"/>
          <w:u w:val="single"/>
        </w:rPr>
        <w:t>____</w:t>
      </w:r>
      <w:r>
        <w:rPr>
          <w:rStyle w:val="16"/>
          <w:rFonts w:hint="eastAsia" w:ascii="仿宋" w:hAnsi="仿宋" w:eastAsia="仿宋" w:cs="宋体"/>
          <w:color w:val="000000"/>
          <w:sz w:val="24"/>
        </w:rPr>
        <w:t>年</w:t>
      </w:r>
      <w:r>
        <w:rPr>
          <w:rStyle w:val="16"/>
          <w:rFonts w:hint="eastAsia" w:ascii="仿宋" w:hAnsi="仿宋" w:eastAsia="仿宋" w:cs="宋体"/>
          <w:color w:val="000000"/>
          <w:sz w:val="24"/>
          <w:u w:val="single"/>
        </w:rPr>
        <w:t>__</w:t>
      </w:r>
      <w:r>
        <w:rPr>
          <w:rStyle w:val="16"/>
          <w:rFonts w:hint="eastAsia" w:ascii="仿宋" w:hAnsi="仿宋" w:eastAsia="仿宋" w:cs="宋体"/>
          <w:color w:val="000000"/>
          <w:sz w:val="24"/>
        </w:rPr>
        <w:t>月绩效考核评分表</w:t>
      </w:r>
    </w:p>
    <w:tbl>
      <w:tblPr>
        <w:tblStyle w:val="10"/>
        <w:tblW w:w="512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790"/>
        <w:gridCol w:w="1148"/>
        <w:gridCol w:w="4546"/>
        <w:gridCol w:w="449"/>
        <w:gridCol w:w="449"/>
        <w:gridCol w:w="673"/>
      </w:tblGrid>
      <w:tr w14:paraId="080F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88" w:type="pct"/>
            <w:vAlign w:val="center"/>
          </w:tcPr>
          <w:p w14:paraId="5010FF5F">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一级指标</w:t>
            </w:r>
          </w:p>
        </w:tc>
        <w:tc>
          <w:tcPr>
            <w:tcW w:w="452" w:type="pct"/>
            <w:vAlign w:val="center"/>
          </w:tcPr>
          <w:p w14:paraId="7BECA37C">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二级指标</w:t>
            </w:r>
          </w:p>
        </w:tc>
        <w:tc>
          <w:tcPr>
            <w:tcW w:w="657" w:type="pct"/>
            <w:vAlign w:val="center"/>
          </w:tcPr>
          <w:p w14:paraId="1B5CCC49">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三级指标</w:t>
            </w:r>
          </w:p>
        </w:tc>
        <w:tc>
          <w:tcPr>
            <w:tcW w:w="2602" w:type="pct"/>
            <w:vAlign w:val="center"/>
          </w:tcPr>
          <w:p w14:paraId="20646D48">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指标说明</w:t>
            </w:r>
          </w:p>
        </w:tc>
        <w:tc>
          <w:tcPr>
            <w:tcW w:w="257" w:type="pct"/>
            <w:vAlign w:val="center"/>
          </w:tcPr>
          <w:p w14:paraId="3B15B667">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分值</w:t>
            </w:r>
          </w:p>
        </w:tc>
        <w:tc>
          <w:tcPr>
            <w:tcW w:w="257" w:type="pct"/>
            <w:vAlign w:val="center"/>
          </w:tcPr>
          <w:p w14:paraId="4C928B0F">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考核得分</w:t>
            </w:r>
          </w:p>
        </w:tc>
        <w:tc>
          <w:tcPr>
            <w:tcW w:w="385" w:type="pct"/>
            <w:vAlign w:val="center"/>
          </w:tcPr>
          <w:p w14:paraId="2A830452">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考核说明</w:t>
            </w:r>
          </w:p>
        </w:tc>
      </w:tr>
      <w:tr w14:paraId="72FC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restart"/>
            <w:vAlign w:val="center"/>
          </w:tcPr>
          <w:p w14:paraId="0A0499A2">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统筹综合管理（15分）</w:t>
            </w:r>
          </w:p>
        </w:tc>
        <w:tc>
          <w:tcPr>
            <w:tcW w:w="452" w:type="pct"/>
            <w:vMerge w:val="restart"/>
            <w:vAlign w:val="center"/>
          </w:tcPr>
          <w:p w14:paraId="6EC32D6E">
            <w:pPr>
              <w:widowControl/>
              <w:jc w:val="left"/>
              <w:rPr>
                <w:rFonts w:hint="eastAsia" w:ascii="宋体" w:hAnsi="宋体" w:cs="宋体"/>
                <w:b/>
                <w:bCs/>
                <w:color w:val="000000"/>
                <w:kern w:val="0"/>
                <w:sz w:val="22"/>
                <w:szCs w:val="22"/>
              </w:rPr>
            </w:pPr>
            <w:r>
              <w:rPr>
                <w:rFonts w:hint="eastAsia" w:ascii="宋体" w:hAnsi="宋体" w:cs="宋体"/>
                <w:b/>
                <w:bCs/>
                <w:color w:val="000000"/>
                <w:kern w:val="0"/>
                <w:sz w:val="22"/>
                <w:szCs w:val="22"/>
              </w:rPr>
              <w:t>安全管理（8分）</w:t>
            </w:r>
          </w:p>
        </w:tc>
        <w:tc>
          <w:tcPr>
            <w:tcW w:w="657" w:type="pct"/>
            <w:vMerge w:val="restart"/>
            <w:vAlign w:val="center"/>
          </w:tcPr>
          <w:p w14:paraId="3CC6FCEB">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安全管理（8分）</w:t>
            </w:r>
          </w:p>
        </w:tc>
        <w:tc>
          <w:tcPr>
            <w:tcW w:w="2602" w:type="pct"/>
            <w:vAlign w:val="center"/>
          </w:tcPr>
          <w:p w14:paraId="05E88AB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1. 严格落实人员及设备安全管理措施，确保维护工作安全运行；（一次未满足指标说明要求扣2分）</w:t>
            </w:r>
          </w:p>
        </w:tc>
        <w:tc>
          <w:tcPr>
            <w:tcW w:w="257" w:type="pct"/>
            <w:vMerge w:val="restart"/>
            <w:vAlign w:val="center"/>
          </w:tcPr>
          <w:p w14:paraId="0E6573E1">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8</w:t>
            </w:r>
          </w:p>
        </w:tc>
        <w:tc>
          <w:tcPr>
            <w:tcW w:w="257" w:type="pct"/>
            <w:vMerge w:val="restart"/>
            <w:vAlign w:val="center"/>
          </w:tcPr>
          <w:p w14:paraId="5A15CF5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16173BF9">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7177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45D21735">
            <w:pPr>
              <w:widowControl/>
              <w:jc w:val="left"/>
              <w:rPr>
                <w:rFonts w:hint="eastAsia" w:ascii="宋体" w:hAnsi="宋体" w:cs="宋体"/>
                <w:b/>
                <w:bCs/>
                <w:color w:val="000000"/>
                <w:kern w:val="0"/>
                <w:sz w:val="22"/>
                <w:szCs w:val="22"/>
              </w:rPr>
            </w:pPr>
          </w:p>
        </w:tc>
        <w:tc>
          <w:tcPr>
            <w:tcW w:w="452" w:type="pct"/>
            <w:vMerge w:val="continue"/>
            <w:vAlign w:val="center"/>
          </w:tcPr>
          <w:p w14:paraId="554E8DA4">
            <w:pPr>
              <w:widowControl/>
              <w:jc w:val="left"/>
              <w:rPr>
                <w:rFonts w:hint="eastAsia" w:ascii="宋体" w:hAnsi="宋体" w:cs="宋体"/>
                <w:b/>
                <w:bCs/>
                <w:color w:val="000000"/>
                <w:kern w:val="0"/>
                <w:sz w:val="22"/>
                <w:szCs w:val="22"/>
              </w:rPr>
            </w:pPr>
          </w:p>
        </w:tc>
        <w:tc>
          <w:tcPr>
            <w:tcW w:w="657" w:type="pct"/>
            <w:vMerge w:val="continue"/>
            <w:vAlign w:val="center"/>
          </w:tcPr>
          <w:p w14:paraId="76C4EC91">
            <w:pPr>
              <w:widowControl/>
              <w:jc w:val="left"/>
              <w:rPr>
                <w:rFonts w:hint="eastAsia" w:ascii="宋体" w:hAnsi="宋体" w:cs="宋体"/>
                <w:color w:val="000000"/>
                <w:kern w:val="0"/>
                <w:sz w:val="22"/>
                <w:szCs w:val="22"/>
              </w:rPr>
            </w:pPr>
          </w:p>
        </w:tc>
        <w:tc>
          <w:tcPr>
            <w:tcW w:w="2602" w:type="pct"/>
            <w:vAlign w:val="center"/>
          </w:tcPr>
          <w:p w14:paraId="3228E1A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2. 聘用人员须签订保密协议，确保服务期内无发生数据外泄、未授权访问等事件；（一次未满足指标说明要求扣2分）</w:t>
            </w:r>
          </w:p>
        </w:tc>
        <w:tc>
          <w:tcPr>
            <w:tcW w:w="257" w:type="pct"/>
            <w:vMerge w:val="continue"/>
            <w:vAlign w:val="center"/>
          </w:tcPr>
          <w:p w14:paraId="16EC96B1">
            <w:pPr>
              <w:widowControl/>
              <w:jc w:val="left"/>
              <w:rPr>
                <w:rFonts w:hint="eastAsia" w:ascii="宋体" w:hAnsi="宋体" w:cs="宋体"/>
                <w:color w:val="000000"/>
                <w:kern w:val="0"/>
                <w:sz w:val="22"/>
                <w:szCs w:val="22"/>
              </w:rPr>
            </w:pPr>
          </w:p>
        </w:tc>
        <w:tc>
          <w:tcPr>
            <w:tcW w:w="257" w:type="pct"/>
            <w:vMerge w:val="continue"/>
            <w:vAlign w:val="center"/>
          </w:tcPr>
          <w:p w14:paraId="743ADD4A">
            <w:pPr>
              <w:widowControl/>
              <w:jc w:val="left"/>
              <w:rPr>
                <w:rFonts w:hint="eastAsia" w:ascii="宋体" w:hAnsi="宋体" w:cs="宋体"/>
                <w:color w:val="000000"/>
                <w:kern w:val="0"/>
                <w:sz w:val="22"/>
                <w:szCs w:val="22"/>
              </w:rPr>
            </w:pPr>
          </w:p>
        </w:tc>
        <w:tc>
          <w:tcPr>
            <w:tcW w:w="385" w:type="pct"/>
            <w:vMerge w:val="continue"/>
            <w:vAlign w:val="center"/>
          </w:tcPr>
          <w:p w14:paraId="5117D32F">
            <w:pPr>
              <w:widowControl/>
              <w:jc w:val="left"/>
              <w:rPr>
                <w:rFonts w:hint="eastAsia" w:ascii="宋体" w:hAnsi="宋体" w:cs="宋体"/>
                <w:color w:val="000000"/>
                <w:kern w:val="0"/>
                <w:sz w:val="22"/>
                <w:szCs w:val="22"/>
              </w:rPr>
            </w:pPr>
          </w:p>
        </w:tc>
      </w:tr>
      <w:tr w14:paraId="4E5C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6A214BAA">
            <w:pPr>
              <w:widowControl/>
              <w:jc w:val="left"/>
              <w:rPr>
                <w:rFonts w:hint="eastAsia" w:ascii="宋体" w:hAnsi="宋体" w:cs="宋体"/>
                <w:b/>
                <w:bCs/>
                <w:color w:val="000000"/>
                <w:kern w:val="0"/>
                <w:sz w:val="22"/>
                <w:szCs w:val="22"/>
              </w:rPr>
            </w:pPr>
          </w:p>
        </w:tc>
        <w:tc>
          <w:tcPr>
            <w:tcW w:w="452" w:type="pct"/>
            <w:vMerge w:val="continue"/>
            <w:vAlign w:val="center"/>
          </w:tcPr>
          <w:p w14:paraId="27974F08">
            <w:pPr>
              <w:widowControl/>
              <w:jc w:val="left"/>
              <w:rPr>
                <w:rFonts w:hint="eastAsia" w:ascii="宋体" w:hAnsi="宋体" w:cs="宋体"/>
                <w:b/>
                <w:bCs/>
                <w:color w:val="000000"/>
                <w:kern w:val="0"/>
                <w:sz w:val="22"/>
                <w:szCs w:val="22"/>
              </w:rPr>
            </w:pPr>
          </w:p>
        </w:tc>
        <w:tc>
          <w:tcPr>
            <w:tcW w:w="657" w:type="pct"/>
            <w:vMerge w:val="continue"/>
            <w:vAlign w:val="center"/>
          </w:tcPr>
          <w:p w14:paraId="16B7A572">
            <w:pPr>
              <w:widowControl/>
              <w:jc w:val="left"/>
              <w:rPr>
                <w:rFonts w:hint="eastAsia" w:ascii="宋体" w:hAnsi="宋体" w:cs="宋体"/>
                <w:color w:val="000000"/>
                <w:kern w:val="0"/>
                <w:sz w:val="22"/>
                <w:szCs w:val="22"/>
              </w:rPr>
            </w:pPr>
          </w:p>
        </w:tc>
        <w:tc>
          <w:tcPr>
            <w:tcW w:w="2602" w:type="pct"/>
            <w:vAlign w:val="center"/>
          </w:tcPr>
          <w:p w14:paraId="144C5D9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3. 重要岗位人员聘用要经建设单位审定；（一次未满足指标说明要求扣2分）</w:t>
            </w:r>
          </w:p>
        </w:tc>
        <w:tc>
          <w:tcPr>
            <w:tcW w:w="257" w:type="pct"/>
            <w:vMerge w:val="continue"/>
            <w:vAlign w:val="center"/>
          </w:tcPr>
          <w:p w14:paraId="48383B3A">
            <w:pPr>
              <w:widowControl/>
              <w:jc w:val="left"/>
              <w:rPr>
                <w:rFonts w:hint="eastAsia" w:ascii="宋体" w:hAnsi="宋体" w:cs="宋体"/>
                <w:color w:val="000000"/>
                <w:kern w:val="0"/>
                <w:sz w:val="22"/>
                <w:szCs w:val="22"/>
              </w:rPr>
            </w:pPr>
          </w:p>
        </w:tc>
        <w:tc>
          <w:tcPr>
            <w:tcW w:w="257" w:type="pct"/>
            <w:vMerge w:val="continue"/>
            <w:vAlign w:val="center"/>
          </w:tcPr>
          <w:p w14:paraId="1C46E453">
            <w:pPr>
              <w:widowControl/>
              <w:jc w:val="left"/>
              <w:rPr>
                <w:rFonts w:hint="eastAsia" w:ascii="宋体" w:hAnsi="宋体" w:cs="宋体"/>
                <w:color w:val="000000"/>
                <w:kern w:val="0"/>
                <w:sz w:val="22"/>
                <w:szCs w:val="22"/>
              </w:rPr>
            </w:pPr>
          </w:p>
        </w:tc>
        <w:tc>
          <w:tcPr>
            <w:tcW w:w="385" w:type="pct"/>
            <w:vMerge w:val="continue"/>
            <w:vAlign w:val="center"/>
          </w:tcPr>
          <w:p w14:paraId="597BBFB1">
            <w:pPr>
              <w:widowControl/>
              <w:jc w:val="left"/>
              <w:rPr>
                <w:rFonts w:hint="eastAsia" w:ascii="宋体" w:hAnsi="宋体" w:cs="宋体"/>
                <w:color w:val="000000"/>
                <w:kern w:val="0"/>
                <w:sz w:val="22"/>
                <w:szCs w:val="22"/>
              </w:rPr>
            </w:pPr>
          </w:p>
        </w:tc>
      </w:tr>
      <w:tr w14:paraId="3453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48CBB165">
            <w:pPr>
              <w:widowControl/>
              <w:jc w:val="left"/>
              <w:rPr>
                <w:rFonts w:hint="eastAsia" w:ascii="宋体" w:hAnsi="宋体" w:cs="宋体"/>
                <w:b/>
                <w:bCs/>
                <w:color w:val="000000"/>
                <w:kern w:val="0"/>
                <w:sz w:val="22"/>
                <w:szCs w:val="22"/>
              </w:rPr>
            </w:pPr>
          </w:p>
        </w:tc>
        <w:tc>
          <w:tcPr>
            <w:tcW w:w="452" w:type="pct"/>
            <w:vMerge w:val="continue"/>
            <w:vAlign w:val="center"/>
          </w:tcPr>
          <w:p w14:paraId="3912BB11">
            <w:pPr>
              <w:widowControl/>
              <w:jc w:val="left"/>
              <w:rPr>
                <w:rFonts w:hint="eastAsia" w:ascii="宋体" w:hAnsi="宋体" w:cs="宋体"/>
                <w:b/>
                <w:bCs/>
                <w:color w:val="000000"/>
                <w:kern w:val="0"/>
                <w:sz w:val="22"/>
                <w:szCs w:val="22"/>
              </w:rPr>
            </w:pPr>
          </w:p>
        </w:tc>
        <w:tc>
          <w:tcPr>
            <w:tcW w:w="657" w:type="pct"/>
            <w:vMerge w:val="continue"/>
            <w:vAlign w:val="center"/>
          </w:tcPr>
          <w:p w14:paraId="00387E70">
            <w:pPr>
              <w:widowControl/>
              <w:jc w:val="left"/>
              <w:rPr>
                <w:rFonts w:hint="eastAsia" w:ascii="宋体" w:hAnsi="宋体" w:cs="宋体"/>
                <w:color w:val="000000"/>
                <w:kern w:val="0"/>
                <w:sz w:val="22"/>
                <w:szCs w:val="22"/>
              </w:rPr>
            </w:pPr>
          </w:p>
        </w:tc>
        <w:tc>
          <w:tcPr>
            <w:tcW w:w="2602" w:type="pct"/>
            <w:vAlign w:val="center"/>
          </w:tcPr>
          <w:p w14:paraId="3EC180C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4. 确保服务期内无出现任何安全事故。（一次未满足指标说明要求扣2分）</w:t>
            </w:r>
          </w:p>
        </w:tc>
        <w:tc>
          <w:tcPr>
            <w:tcW w:w="257" w:type="pct"/>
            <w:vMerge w:val="continue"/>
            <w:vAlign w:val="center"/>
          </w:tcPr>
          <w:p w14:paraId="292ED89B">
            <w:pPr>
              <w:widowControl/>
              <w:jc w:val="left"/>
              <w:rPr>
                <w:rFonts w:hint="eastAsia" w:ascii="宋体" w:hAnsi="宋体" w:cs="宋体"/>
                <w:color w:val="000000"/>
                <w:kern w:val="0"/>
                <w:sz w:val="22"/>
                <w:szCs w:val="22"/>
              </w:rPr>
            </w:pPr>
          </w:p>
        </w:tc>
        <w:tc>
          <w:tcPr>
            <w:tcW w:w="257" w:type="pct"/>
            <w:vMerge w:val="continue"/>
            <w:vAlign w:val="center"/>
          </w:tcPr>
          <w:p w14:paraId="7D2BBC4E">
            <w:pPr>
              <w:widowControl/>
              <w:jc w:val="left"/>
              <w:rPr>
                <w:rFonts w:hint="eastAsia" w:ascii="宋体" w:hAnsi="宋体" w:cs="宋体"/>
                <w:color w:val="000000"/>
                <w:kern w:val="0"/>
                <w:sz w:val="22"/>
                <w:szCs w:val="22"/>
              </w:rPr>
            </w:pPr>
          </w:p>
        </w:tc>
        <w:tc>
          <w:tcPr>
            <w:tcW w:w="385" w:type="pct"/>
            <w:vMerge w:val="continue"/>
            <w:vAlign w:val="center"/>
          </w:tcPr>
          <w:p w14:paraId="6E73A34D">
            <w:pPr>
              <w:widowControl/>
              <w:jc w:val="left"/>
              <w:rPr>
                <w:rFonts w:hint="eastAsia" w:ascii="宋体" w:hAnsi="宋体" w:cs="宋体"/>
                <w:color w:val="000000"/>
                <w:kern w:val="0"/>
                <w:sz w:val="22"/>
                <w:szCs w:val="22"/>
              </w:rPr>
            </w:pPr>
          </w:p>
        </w:tc>
      </w:tr>
      <w:tr w14:paraId="665A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8" w:hRule="atLeast"/>
          <w:jc w:val="center"/>
        </w:trPr>
        <w:tc>
          <w:tcPr>
            <w:tcW w:w="388" w:type="pct"/>
            <w:vMerge w:val="continue"/>
            <w:vAlign w:val="center"/>
          </w:tcPr>
          <w:p w14:paraId="57F49397">
            <w:pPr>
              <w:widowControl/>
              <w:jc w:val="left"/>
              <w:rPr>
                <w:rFonts w:hint="eastAsia" w:ascii="宋体" w:hAnsi="宋体" w:cs="宋体"/>
                <w:b/>
                <w:bCs/>
                <w:color w:val="000000"/>
                <w:kern w:val="0"/>
                <w:sz w:val="22"/>
                <w:szCs w:val="22"/>
              </w:rPr>
            </w:pPr>
          </w:p>
        </w:tc>
        <w:tc>
          <w:tcPr>
            <w:tcW w:w="452" w:type="pct"/>
            <w:vMerge w:val="restart"/>
            <w:vAlign w:val="center"/>
          </w:tcPr>
          <w:p w14:paraId="0725608E">
            <w:pPr>
              <w:widowControl/>
              <w:jc w:val="left"/>
              <w:rPr>
                <w:rFonts w:hint="eastAsia" w:ascii="宋体" w:hAnsi="宋体" w:cs="宋体"/>
                <w:b/>
                <w:bCs/>
                <w:color w:val="000000"/>
                <w:kern w:val="0"/>
                <w:sz w:val="22"/>
                <w:szCs w:val="22"/>
              </w:rPr>
            </w:pPr>
            <w:r>
              <w:rPr>
                <w:rFonts w:hint="eastAsia" w:ascii="宋体" w:hAnsi="宋体" w:cs="宋体"/>
                <w:b/>
                <w:bCs/>
                <w:color w:val="000000"/>
                <w:kern w:val="0"/>
                <w:sz w:val="22"/>
                <w:szCs w:val="22"/>
              </w:rPr>
              <w:t>落实机制（7分）</w:t>
            </w:r>
          </w:p>
        </w:tc>
        <w:tc>
          <w:tcPr>
            <w:tcW w:w="657" w:type="pct"/>
            <w:vMerge w:val="restart"/>
            <w:vAlign w:val="center"/>
          </w:tcPr>
          <w:p w14:paraId="1B4747C3">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落实机制（7分）</w:t>
            </w:r>
          </w:p>
        </w:tc>
        <w:tc>
          <w:tcPr>
            <w:tcW w:w="2602" w:type="pct"/>
            <w:vAlign w:val="center"/>
          </w:tcPr>
          <w:p w14:paraId="54FB9B29">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1. 根据各岗位的实际工作特点，按照建设单位决策机制的工作节奏及要求提交书面年度、季度、月或周的工作计划给建设单位审定后实施；根据月度考核结果对工作进行调整、整改和优化，形成整改计划落实到次月工作计划中，提交相关会议审后严格执行，各阶段的整改优化措施及效果形成小结性材料定期反馈建设单位确认及备案。（一次未满足指标说明要求扣3分）</w:t>
            </w:r>
          </w:p>
        </w:tc>
        <w:tc>
          <w:tcPr>
            <w:tcW w:w="257" w:type="pct"/>
            <w:vMerge w:val="restart"/>
            <w:vAlign w:val="center"/>
          </w:tcPr>
          <w:p w14:paraId="56434AB3">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7</w:t>
            </w:r>
          </w:p>
        </w:tc>
        <w:tc>
          <w:tcPr>
            <w:tcW w:w="257" w:type="pct"/>
            <w:vMerge w:val="restart"/>
            <w:vAlign w:val="center"/>
          </w:tcPr>
          <w:p w14:paraId="64CC25E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51A52B4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6B97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7427FB58">
            <w:pPr>
              <w:widowControl/>
              <w:jc w:val="left"/>
              <w:rPr>
                <w:rFonts w:hint="eastAsia" w:ascii="宋体" w:hAnsi="宋体" w:cs="宋体"/>
                <w:b/>
                <w:bCs/>
                <w:color w:val="000000"/>
                <w:kern w:val="0"/>
                <w:sz w:val="22"/>
                <w:szCs w:val="22"/>
              </w:rPr>
            </w:pPr>
          </w:p>
        </w:tc>
        <w:tc>
          <w:tcPr>
            <w:tcW w:w="452" w:type="pct"/>
            <w:vMerge w:val="continue"/>
            <w:vAlign w:val="center"/>
          </w:tcPr>
          <w:p w14:paraId="01D04331">
            <w:pPr>
              <w:widowControl/>
              <w:jc w:val="left"/>
              <w:rPr>
                <w:rFonts w:hint="eastAsia" w:ascii="宋体" w:hAnsi="宋体" w:cs="宋体"/>
                <w:b/>
                <w:bCs/>
                <w:color w:val="000000"/>
                <w:kern w:val="0"/>
                <w:sz w:val="22"/>
                <w:szCs w:val="22"/>
              </w:rPr>
            </w:pPr>
          </w:p>
        </w:tc>
        <w:tc>
          <w:tcPr>
            <w:tcW w:w="657" w:type="pct"/>
            <w:vMerge w:val="continue"/>
            <w:vAlign w:val="center"/>
          </w:tcPr>
          <w:p w14:paraId="1DBD1BD1">
            <w:pPr>
              <w:widowControl/>
              <w:jc w:val="left"/>
              <w:rPr>
                <w:rFonts w:hint="eastAsia" w:ascii="宋体" w:hAnsi="宋体" w:cs="宋体"/>
                <w:color w:val="000000"/>
                <w:kern w:val="0"/>
                <w:sz w:val="22"/>
                <w:szCs w:val="22"/>
              </w:rPr>
            </w:pPr>
          </w:p>
        </w:tc>
        <w:tc>
          <w:tcPr>
            <w:tcW w:w="2602" w:type="pct"/>
            <w:vAlign w:val="center"/>
          </w:tcPr>
          <w:p w14:paraId="6E69B06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2. 严格按照建设单位相关制度进行管理，具有反应迅速，成效明显的应急预案。（一次未满足指标说明要求扣2分）</w:t>
            </w:r>
          </w:p>
        </w:tc>
        <w:tc>
          <w:tcPr>
            <w:tcW w:w="257" w:type="pct"/>
            <w:vMerge w:val="continue"/>
            <w:vAlign w:val="center"/>
          </w:tcPr>
          <w:p w14:paraId="22216CA4">
            <w:pPr>
              <w:widowControl/>
              <w:jc w:val="left"/>
              <w:rPr>
                <w:rFonts w:hint="eastAsia" w:ascii="宋体" w:hAnsi="宋体" w:cs="宋体"/>
                <w:color w:val="000000"/>
                <w:kern w:val="0"/>
                <w:sz w:val="22"/>
                <w:szCs w:val="22"/>
              </w:rPr>
            </w:pPr>
          </w:p>
        </w:tc>
        <w:tc>
          <w:tcPr>
            <w:tcW w:w="257" w:type="pct"/>
            <w:vMerge w:val="continue"/>
            <w:vAlign w:val="center"/>
          </w:tcPr>
          <w:p w14:paraId="628D9E05">
            <w:pPr>
              <w:widowControl/>
              <w:jc w:val="left"/>
              <w:rPr>
                <w:rFonts w:hint="eastAsia" w:ascii="宋体" w:hAnsi="宋体" w:cs="宋体"/>
                <w:color w:val="000000"/>
                <w:kern w:val="0"/>
                <w:sz w:val="22"/>
                <w:szCs w:val="22"/>
              </w:rPr>
            </w:pPr>
          </w:p>
        </w:tc>
        <w:tc>
          <w:tcPr>
            <w:tcW w:w="385" w:type="pct"/>
            <w:vMerge w:val="continue"/>
            <w:vAlign w:val="center"/>
          </w:tcPr>
          <w:p w14:paraId="60573BB0">
            <w:pPr>
              <w:widowControl/>
              <w:jc w:val="left"/>
              <w:rPr>
                <w:rFonts w:hint="eastAsia" w:ascii="宋体" w:hAnsi="宋体" w:cs="宋体"/>
                <w:color w:val="000000"/>
                <w:kern w:val="0"/>
                <w:sz w:val="22"/>
                <w:szCs w:val="22"/>
              </w:rPr>
            </w:pPr>
          </w:p>
        </w:tc>
      </w:tr>
      <w:tr w14:paraId="1DA3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5E272F30">
            <w:pPr>
              <w:widowControl/>
              <w:jc w:val="left"/>
              <w:rPr>
                <w:rFonts w:hint="eastAsia" w:ascii="宋体" w:hAnsi="宋体" w:cs="宋体"/>
                <w:b/>
                <w:bCs/>
                <w:color w:val="000000"/>
                <w:kern w:val="0"/>
                <w:sz w:val="22"/>
                <w:szCs w:val="22"/>
              </w:rPr>
            </w:pPr>
          </w:p>
        </w:tc>
        <w:tc>
          <w:tcPr>
            <w:tcW w:w="452" w:type="pct"/>
            <w:vMerge w:val="continue"/>
            <w:vAlign w:val="center"/>
          </w:tcPr>
          <w:p w14:paraId="100CB485">
            <w:pPr>
              <w:widowControl/>
              <w:jc w:val="left"/>
              <w:rPr>
                <w:rFonts w:hint="eastAsia" w:ascii="宋体" w:hAnsi="宋体" w:cs="宋体"/>
                <w:b/>
                <w:bCs/>
                <w:color w:val="000000"/>
                <w:kern w:val="0"/>
                <w:sz w:val="22"/>
                <w:szCs w:val="22"/>
              </w:rPr>
            </w:pPr>
          </w:p>
        </w:tc>
        <w:tc>
          <w:tcPr>
            <w:tcW w:w="657" w:type="pct"/>
            <w:vMerge w:val="continue"/>
            <w:vAlign w:val="center"/>
          </w:tcPr>
          <w:p w14:paraId="7C4DCE77">
            <w:pPr>
              <w:widowControl/>
              <w:jc w:val="left"/>
              <w:rPr>
                <w:rFonts w:hint="eastAsia" w:ascii="宋体" w:hAnsi="宋体" w:cs="宋体"/>
                <w:color w:val="000000"/>
                <w:kern w:val="0"/>
                <w:sz w:val="22"/>
                <w:szCs w:val="22"/>
              </w:rPr>
            </w:pPr>
          </w:p>
        </w:tc>
        <w:tc>
          <w:tcPr>
            <w:tcW w:w="2602" w:type="pct"/>
            <w:vAlign w:val="center"/>
          </w:tcPr>
          <w:p w14:paraId="12E2A82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3. 提供标准化、专业化、精细化、品质化的服务，每月对所有服务人员进行不少于1次的专业培训。（一次未满足指标说明要求扣2分）</w:t>
            </w:r>
          </w:p>
        </w:tc>
        <w:tc>
          <w:tcPr>
            <w:tcW w:w="257" w:type="pct"/>
            <w:vMerge w:val="continue"/>
            <w:vAlign w:val="center"/>
          </w:tcPr>
          <w:p w14:paraId="7279F342">
            <w:pPr>
              <w:widowControl/>
              <w:jc w:val="left"/>
              <w:rPr>
                <w:rFonts w:hint="eastAsia" w:ascii="宋体" w:hAnsi="宋体" w:cs="宋体"/>
                <w:color w:val="000000"/>
                <w:kern w:val="0"/>
                <w:sz w:val="22"/>
                <w:szCs w:val="22"/>
              </w:rPr>
            </w:pPr>
          </w:p>
        </w:tc>
        <w:tc>
          <w:tcPr>
            <w:tcW w:w="257" w:type="pct"/>
            <w:vMerge w:val="continue"/>
            <w:vAlign w:val="center"/>
          </w:tcPr>
          <w:p w14:paraId="66BA8D02">
            <w:pPr>
              <w:widowControl/>
              <w:jc w:val="left"/>
              <w:rPr>
                <w:rFonts w:hint="eastAsia" w:ascii="宋体" w:hAnsi="宋体" w:cs="宋体"/>
                <w:color w:val="000000"/>
                <w:kern w:val="0"/>
                <w:sz w:val="22"/>
                <w:szCs w:val="22"/>
              </w:rPr>
            </w:pPr>
          </w:p>
        </w:tc>
        <w:tc>
          <w:tcPr>
            <w:tcW w:w="385" w:type="pct"/>
            <w:vMerge w:val="continue"/>
            <w:vAlign w:val="center"/>
          </w:tcPr>
          <w:p w14:paraId="567C68DB">
            <w:pPr>
              <w:widowControl/>
              <w:jc w:val="left"/>
              <w:rPr>
                <w:rFonts w:hint="eastAsia" w:ascii="宋体" w:hAnsi="宋体" w:cs="宋体"/>
                <w:color w:val="000000"/>
                <w:kern w:val="0"/>
                <w:sz w:val="22"/>
                <w:szCs w:val="22"/>
              </w:rPr>
            </w:pPr>
          </w:p>
        </w:tc>
      </w:tr>
      <w:tr w14:paraId="159B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restart"/>
            <w:vAlign w:val="center"/>
          </w:tcPr>
          <w:p w14:paraId="13C28208">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运维服务质量（50分）</w:t>
            </w:r>
          </w:p>
        </w:tc>
        <w:tc>
          <w:tcPr>
            <w:tcW w:w="452" w:type="pct"/>
            <w:vMerge w:val="restart"/>
            <w:vAlign w:val="center"/>
          </w:tcPr>
          <w:p w14:paraId="534F9A0B">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核心系统运维保障（25分）</w:t>
            </w:r>
          </w:p>
        </w:tc>
        <w:tc>
          <w:tcPr>
            <w:tcW w:w="657" w:type="pct"/>
            <w:vMerge w:val="restart"/>
            <w:vAlign w:val="center"/>
          </w:tcPr>
          <w:p w14:paraId="551B9156">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1. 视频会议系统保障（10分）</w:t>
            </w:r>
          </w:p>
        </w:tc>
        <w:tc>
          <w:tcPr>
            <w:tcW w:w="2602" w:type="pct"/>
            <w:vAlign w:val="center"/>
          </w:tcPr>
          <w:p w14:paraId="51040EC4">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xml:space="preserve">a) </w:t>
            </w:r>
            <w:r>
              <w:rPr>
                <w:rFonts w:hint="eastAsia" w:ascii="宋体" w:hAnsi="宋体" w:cs="宋体"/>
                <w:b/>
                <w:bCs/>
                <w:color w:val="000000"/>
                <w:kern w:val="0"/>
                <w:sz w:val="22"/>
                <w:szCs w:val="22"/>
              </w:rPr>
              <w:t>维保服务：</w:t>
            </w:r>
            <w:r>
              <w:rPr>
                <w:rFonts w:hint="eastAsia" w:ascii="宋体" w:hAnsi="宋体" w:cs="宋体"/>
                <w:color w:val="000000"/>
                <w:kern w:val="0"/>
                <w:sz w:val="22"/>
                <w:szCs w:val="22"/>
              </w:rPr>
              <w:t>确保视频会议系统核心设备享有并有效使用与华为金牌服务等级相当或更优的运维服务。（未落实扣3分）</w:t>
            </w:r>
          </w:p>
        </w:tc>
        <w:tc>
          <w:tcPr>
            <w:tcW w:w="257" w:type="pct"/>
            <w:vMerge w:val="restart"/>
            <w:vAlign w:val="center"/>
          </w:tcPr>
          <w:p w14:paraId="3C66BEE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10</w:t>
            </w:r>
          </w:p>
        </w:tc>
        <w:tc>
          <w:tcPr>
            <w:tcW w:w="257" w:type="pct"/>
            <w:vMerge w:val="restart"/>
            <w:vAlign w:val="center"/>
          </w:tcPr>
          <w:p w14:paraId="7EEBED7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0B2EF69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3372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32B933A1">
            <w:pPr>
              <w:widowControl/>
              <w:jc w:val="left"/>
              <w:rPr>
                <w:rFonts w:hint="eastAsia" w:ascii="宋体" w:hAnsi="宋体" w:cs="宋体"/>
                <w:b/>
                <w:bCs/>
                <w:color w:val="000000"/>
                <w:kern w:val="0"/>
                <w:sz w:val="22"/>
                <w:szCs w:val="22"/>
              </w:rPr>
            </w:pPr>
          </w:p>
        </w:tc>
        <w:tc>
          <w:tcPr>
            <w:tcW w:w="452" w:type="pct"/>
            <w:vMerge w:val="continue"/>
            <w:vAlign w:val="center"/>
          </w:tcPr>
          <w:p w14:paraId="33DEE486">
            <w:pPr>
              <w:widowControl/>
              <w:jc w:val="left"/>
              <w:rPr>
                <w:rFonts w:hint="eastAsia" w:ascii="宋体" w:hAnsi="宋体" w:cs="宋体"/>
                <w:b/>
                <w:bCs/>
                <w:color w:val="000000"/>
                <w:kern w:val="0"/>
                <w:sz w:val="22"/>
                <w:szCs w:val="22"/>
              </w:rPr>
            </w:pPr>
          </w:p>
        </w:tc>
        <w:tc>
          <w:tcPr>
            <w:tcW w:w="657" w:type="pct"/>
            <w:vMerge w:val="continue"/>
            <w:vAlign w:val="center"/>
          </w:tcPr>
          <w:p w14:paraId="44689C60">
            <w:pPr>
              <w:widowControl/>
              <w:jc w:val="left"/>
              <w:rPr>
                <w:rFonts w:hint="eastAsia" w:ascii="宋体" w:hAnsi="宋体" w:cs="宋体"/>
                <w:bCs/>
                <w:color w:val="000000"/>
                <w:kern w:val="0"/>
                <w:sz w:val="22"/>
                <w:szCs w:val="22"/>
              </w:rPr>
            </w:pPr>
          </w:p>
        </w:tc>
        <w:tc>
          <w:tcPr>
            <w:tcW w:w="2602" w:type="pct"/>
            <w:vAlign w:val="center"/>
          </w:tcPr>
          <w:p w14:paraId="38BC6F7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b) 日常巡检：每周对视频会议核心设备进行巡检，记录设备运行状态，发现异常及时处理。（一次未满足指标说明要求扣2分）</w:t>
            </w:r>
          </w:p>
        </w:tc>
        <w:tc>
          <w:tcPr>
            <w:tcW w:w="257" w:type="pct"/>
            <w:vMerge w:val="continue"/>
            <w:vAlign w:val="center"/>
          </w:tcPr>
          <w:p w14:paraId="6D72DAEE">
            <w:pPr>
              <w:widowControl/>
              <w:jc w:val="left"/>
              <w:rPr>
                <w:rFonts w:hint="eastAsia" w:ascii="宋体" w:hAnsi="宋体" w:cs="宋体"/>
                <w:color w:val="000000"/>
                <w:kern w:val="0"/>
                <w:sz w:val="22"/>
                <w:szCs w:val="22"/>
              </w:rPr>
            </w:pPr>
          </w:p>
        </w:tc>
        <w:tc>
          <w:tcPr>
            <w:tcW w:w="257" w:type="pct"/>
            <w:vMerge w:val="continue"/>
            <w:vAlign w:val="center"/>
          </w:tcPr>
          <w:p w14:paraId="4A9FF8D8">
            <w:pPr>
              <w:widowControl/>
              <w:jc w:val="left"/>
              <w:rPr>
                <w:rFonts w:hint="eastAsia" w:ascii="宋体" w:hAnsi="宋体" w:cs="宋体"/>
                <w:color w:val="000000"/>
                <w:kern w:val="0"/>
                <w:sz w:val="22"/>
                <w:szCs w:val="22"/>
              </w:rPr>
            </w:pPr>
          </w:p>
        </w:tc>
        <w:tc>
          <w:tcPr>
            <w:tcW w:w="385" w:type="pct"/>
            <w:vMerge w:val="continue"/>
            <w:vAlign w:val="center"/>
          </w:tcPr>
          <w:p w14:paraId="3021EC5D">
            <w:pPr>
              <w:widowControl/>
              <w:jc w:val="left"/>
              <w:rPr>
                <w:rFonts w:hint="eastAsia" w:ascii="宋体" w:hAnsi="宋体" w:cs="宋体"/>
                <w:color w:val="000000"/>
                <w:kern w:val="0"/>
                <w:sz w:val="22"/>
                <w:szCs w:val="22"/>
              </w:rPr>
            </w:pPr>
          </w:p>
        </w:tc>
      </w:tr>
      <w:tr w14:paraId="38B5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0E0B0CF8">
            <w:pPr>
              <w:widowControl/>
              <w:jc w:val="left"/>
              <w:rPr>
                <w:rFonts w:hint="eastAsia" w:ascii="宋体" w:hAnsi="宋体" w:cs="宋体"/>
                <w:b/>
                <w:bCs/>
                <w:color w:val="000000"/>
                <w:kern w:val="0"/>
                <w:sz w:val="22"/>
                <w:szCs w:val="22"/>
              </w:rPr>
            </w:pPr>
          </w:p>
        </w:tc>
        <w:tc>
          <w:tcPr>
            <w:tcW w:w="452" w:type="pct"/>
            <w:vMerge w:val="continue"/>
            <w:vAlign w:val="center"/>
          </w:tcPr>
          <w:p w14:paraId="10EBED61">
            <w:pPr>
              <w:widowControl/>
              <w:jc w:val="left"/>
              <w:rPr>
                <w:rFonts w:hint="eastAsia" w:ascii="宋体" w:hAnsi="宋体" w:cs="宋体"/>
                <w:b/>
                <w:bCs/>
                <w:color w:val="000000"/>
                <w:kern w:val="0"/>
                <w:sz w:val="22"/>
                <w:szCs w:val="22"/>
              </w:rPr>
            </w:pPr>
          </w:p>
        </w:tc>
        <w:tc>
          <w:tcPr>
            <w:tcW w:w="657" w:type="pct"/>
            <w:vMerge w:val="continue"/>
            <w:vAlign w:val="center"/>
          </w:tcPr>
          <w:p w14:paraId="652E9CD3">
            <w:pPr>
              <w:widowControl/>
              <w:jc w:val="left"/>
              <w:rPr>
                <w:rFonts w:hint="eastAsia" w:ascii="宋体" w:hAnsi="宋体" w:cs="宋体"/>
                <w:bCs/>
                <w:color w:val="000000"/>
                <w:kern w:val="0"/>
                <w:sz w:val="22"/>
                <w:szCs w:val="22"/>
              </w:rPr>
            </w:pPr>
          </w:p>
        </w:tc>
        <w:tc>
          <w:tcPr>
            <w:tcW w:w="2602" w:type="pct"/>
            <w:vAlign w:val="center"/>
          </w:tcPr>
          <w:p w14:paraId="472D1936">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xml:space="preserve">c) </w:t>
            </w:r>
            <w:r>
              <w:rPr>
                <w:rFonts w:hint="eastAsia" w:ascii="宋体" w:hAnsi="宋体" w:cs="宋体"/>
                <w:b/>
                <w:bCs/>
                <w:color w:val="000000"/>
                <w:kern w:val="0"/>
                <w:sz w:val="22"/>
                <w:szCs w:val="22"/>
              </w:rPr>
              <w:t>授权管理</w:t>
            </w:r>
            <w:r>
              <w:rPr>
                <w:rFonts w:hint="eastAsia" w:ascii="宋体" w:hAnsi="宋体" w:cs="宋体"/>
                <w:color w:val="000000"/>
                <w:kern w:val="0"/>
                <w:sz w:val="22"/>
                <w:szCs w:val="22"/>
              </w:rPr>
              <w:t>：负责续期的视频会议系统使用授权有效，满足日常会议需求。（一次未满足指标说明要求扣3分）</w:t>
            </w:r>
          </w:p>
        </w:tc>
        <w:tc>
          <w:tcPr>
            <w:tcW w:w="257" w:type="pct"/>
            <w:vMerge w:val="continue"/>
            <w:vAlign w:val="center"/>
          </w:tcPr>
          <w:p w14:paraId="51019203">
            <w:pPr>
              <w:widowControl/>
              <w:jc w:val="left"/>
              <w:rPr>
                <w:rFonts w:hint="eastAsia" w:ascii="宋体" w:hAnsi="宋体" w:cs="宋体"/>
                <w:color w:val="000000"/>
                <w:kern w:val="0"/>
                <w:sz w:val="22"/>
                <w:szCs w:val="22"/>
              </w:rPr>
            </w:pPr>
          </w:p>
        </w:tc>
        <w:tc>
          <w:tcPr>
            <w:tcW w:w="257" w:type="pct"/>
            <w:vMerge w:val="continue"/>
            <w:vAlign w:val="center"/>
          </w:tcPr>
          <w:p w14:paraId="6A2C7413">
            <w:pPr>
              <w:widowControl/>
              <w:jc w:val="left"/>
              <w:rPr>
                <w:rFonts w:hint="eastAsia" w:ascii="宋体" w:hAnsi="宋体" w:cs="宋体"/>
                <w:color w:val="000000"/>
                <w:kern w:val="0"/>
                <w:sz w:val="22"/>
                <w:szCs w:val="22"/>
              </w:rPr>
            </w:pPr>
          </w:p>
        </w:tc>
        <w:tc>
          <w:tcPr>
            <w:tcW w:w="385" w:type="pct"/>
            <w:vMerge w:val="continue"/>
            <w:vAlign w:val="center"/>
          </w:tcPr>
          <w:p w14:paraId="70004E7D">
            <w:pPr>
              <w:widowControl/>
              <w:jc w:val="left"/>
              <w:rPr>
                <w:rFonts w:hint="eastAsia" w:ascii="宋体" w:hAnsi="宋体" w:cs="宋体"/>
                <w:color w:val="000000"/>
                <w:kern w:val="0"/>
                <w:sz w:val="22"/>
                <w:szCs w:val="22"/>
              </w:rPr>
            </w:pPr>
          </w:p>
        </w:tc>
      </w:tr>
      <w:tr w14:paraId="7FC5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58445A0A">
            <w:pPr>
              <w:widowControl/>
              <w:jc w:val="left"/>
              <w:rPr>
                <w:rFonts w:hint="eastAsia" w:ascii="宋体" w:hAnsi="宋体" w:cs="宋体"/>
                <w:b/>
                <w:bCs/>
                <w:color w:val="000000"/>
                <w:kern w:val="0"/>
                <w:sz w:val="22"/>
                <w:szCs w:val="22"/>
              </w:rPr>
            </w:pPr>
          </w:p>
        </w:tc>
        <w:tc>
          <w:tcPr>
            <w:tcW w:w="452" w:type="pct"/>
            <w:vMerge w:val="continue"/>
            <w:vAlign w:val="center"/>
          </w:tcPr>
          <w:p w14:paraId="524D4E90">
            <w:pPr>
              <w:widowControl/>
              <w:jc w:val="left"/>
              <w:rPr>
                <w:rFonts w:hint="eastAsia" w:ascii="宋体" w:hAnsi="宋体" w:cs="宋体"/>
                <w:b/>
                <w:bCs/>
                <w:color w:val="000000"/>
                <w:kern w:val="0"/>
                <w:sz w:val="22"/>
                <w:szCs w:val="22"/>
              </w:rPr>
            </w:pPr>
          </w:p>
        </w:tc>
        <w:tc>
          <w:tcPr>
            <w:tcW w:w="657" w:type="pct"/>
            <w:vMerge w:val="continue"/>
            <w:vAlign w:val="center"/>
          </w:tcPr>
          <w:p w14:paraId="0FBD109E">
            <w:pPr>
              <w:widowControl/>
              <w:jc w:val="left"/>
              <w:rPr>
                <w:rFonts w:hint="eastAsia" w:ascii="宋体" w:hAnsi="宋体" w:cs="宋体"/>
                <w:bCs/>
                <w:color w:val="000000"/>
                <w:kern w:val="0"/>
                <w:sz w:val="22"/>
                <w:szCs w:val="22"/>
              </w:rPr>
            </w:pPr>
          </w:p>
        </w:tc>
        <w:tc>
          <w:tcPr>
            <w:tcW w:w="2602" w:type="pct"/>
            <w:vAlign w:val="center"/>
          </w:tcPr>
          <w:p w14:paraId="3F5080F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d) 故障响应：在故障等级相应的响应时间内完成修复，未影响用户使用，未出现用户投诉（一次未满足指标说明要求扣5分。）</w:t>
            </w:r>
          </w:p>
        </w:tc>
        <w:tc>
          <w:tcPr>
            <w:tcW w:w="257" w:type="pct"/>
            <w:vMerge w:val="continue"/>
            <w:vAlign w:val="center"/>
          </w:tcPr>
          <w:p w14:paraId="7A01DA89">
            <w:pPr>
              <w:widowControl/>
              <w:jc w:val="left"/>
              <w:rPr>
                <w:rFonts w:hint="eastAsia" w:ascii="宋体" w:hAnsi="宋体" w:cs="宋体"/>
                <w:color w:val="000000"/>
                <w:kern w:val="0"/>
                <w:sz w:val="22"/>
                <w:szCs w:val="22"/>
              </w:rPr>
            </w:pPr>
          </w:p>
        </w:tc>
        <w:tc>
          <w:tcPr>
            <w:tcW w:w="257" w:type="pct"/>
            <w:vMerge w:val="continue"/>
            <w:vAlign w:val="center"/>
          </w:tcPr>
          <w:p w14:paraId="5CAE1677">
            <w:pPr>
              <w:widowControl/>
              <w:jc w:val="left"/>
              <w:rPr>
                <w:rFonts w:hint="eastAsia" w:ascii="宋体" w:hAnsi="宋体" w:cs="宋体"/>
                <w:color w:val="000000"/>
                <w:kern w:val="0"/>
                <w:sz w:val="22"/>
                <w:szCs w:val="22"/>
              </w:rPr>
            </w:pPr>
          </w:p>
        </w:tc>
        <w:tc>
          <w:tcPr>
            <w:tcW w:w="385" w:type="pct"/>
            <w:vMerge w:val="continue"/>
            <w:vAlign w:val="center"/>
          </w:tcPr>
          <w:p w14:paraId="5D0695C6">
            <w:pPr>
              <w:widowControl/>
              <w:jc w:val="left"/>
              <w:rPr>
                <w:rFonts w:hint="eastAsia" w:ascii="宋体" w:hAnsi="宋体" w:cs="宋体"/>
                <w:color w:val="000000"/>
                <w:kern w:val="0"/>
                <w:sz w:val="22"/>
                <w:szCs w:val="22"/>
              </w:rPr>
            </w:pPr>
          </w:p>
        </w:tc>
      </w:tr>
      <w:tr w14:paraId="7253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601D6421">
            <w:pPr>
              <w:widowControl/>
              <w:jc w:val="left"/>
              <w:rPr>
                <w:rFonts w:hint="eastAsia" w:ascii="宋体" w:hAnsi="宋体" w:cs="宋体"/>
                <w:b/>
                <w:bCs/>
                <w:color w:val="000000"/>
                <w:kern w:val="0"/>
                <w:sz w:val="22"/>
                <w:szCs w:val="22"/>
              </w:rPr>
            </w:pPr>
          </w:p>
        </w:tc>
        <w:tc>
          <w:tcPr>
            <w:tcW w:w="452" w:type="pct"/>
            <w:vMerge w:val="continue"/>
            <w:vAlign w:val="center"/>
          </w:tcPr>
          <w:p w14:paraId="67B7013C">
            <w:pPr>
              <w:widowControl/>
              <w:jc w:val="left"/>
              <w:rPr>
                <w:rFonts w:hint="eastAsia" w:ascii="宋体" w:hAnsi="宋体" w:cs="宋体"/>
                <w:b/>
                <w:bCs/>
                <w:color w:val="000000"/>
                <w:kern w:val="0"/>
                <w:sz w:val="22"/>
                <w:szCs w:val="22"/>
              </w:rPr>
            </w:pPr>
          </w:p>
        </w:tc>
        <w:tc>
          <w:tcPr>
            <w:tcW w:w="657" w:type="pct"/>
            <w:vMerge w:val="restart"/>
            <w:vAlign w:val="center"/>
          </w:tcPr>
          <w:p w14:paraId="5E204B22">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2. LED屏保障（5分）</w:t>
            </w:r>
          </w:p>
        </w:tc>
        <w:tc>
          <w:tcPr>
            <w:tcW w:w="2602" w:type="pct"/>
            <w:vAlign w:val="center"/>
          </w:tcPr>
          <w:p w14:paraId="5E867E4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a) 日常巡检：每周对所有LED屏进行巡检，记录设备运行状态，发现异常及时处理。（一次未满足指标说明要求扣2分）</w:t>
            </w:r>
          </w:p>
        </w:tc>
        <w:tc>
          <w:tcPr>
            <w:tcW w:w="257" w:type="pct"/>
            <w:vMerge w:val="restart"/>
            <w:vAlign w:val="center"/>
          </w:tcPr>
          <w:p w14:paraId="273A5A7C">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5</w:t>
            </w:r>
          </w:p>
        </w:tc>
        <w:tc>
          <w:tcPr>
            <w:tcW w:w="257" w:type="pct"/>
            <w:vMerge w:val="restart"/>
            <w:vAlign w:val="center"/>
          </w:tcPr>
          <w:p w14:paraId="5B06C97B">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22F905D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2FB5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33D4A9FE">
            <w:pPr>
              <w:widowControl/>
              <w:jc w:val="left"/>
              <w:rPr>
                <w:rFonts w:hint="eastAsia" w:ascii="宋体" w:hAnsi="宋体" w:cs="宋体"/>
                <w:b/>
                <w:bCs/>
                <w:color w:val="000000"/>
                <w:kern w:val="0"/>
                <w:sz w:val="22"/>
                <w:szCs w:val="22"/>
              </w:rPr>
            </w:pPr>
          </w:p>
        </w:tc>
        <w:tc>
          <w:tcPr>
            <w:tcW w:w="452" w:type="pct"/>
            <w:vMerge w:val="continue"/>
            <w:vAlign w:val="center"/>
          </w:tcPr>
          <w:p w14:paraId="5C4392BE">
            <w:pPr>
              <w:widowControl/>
              <w:jc w:val="left"/>
              <w:rPr>
                <w:rFonts w:hint="eastAsia" w:ascii="宋体" w:hAnsi="宋体" w:cs="宋体"/>
                <w:b/>
                <w:bCs/>
                <w:color w:val="000000"/>
                <w:kern w:val="0"/>
                <w:sz w:val="22"/>
                <w:szCs w:val="22"/>
              </w:rPr>
            </w:pPr>
          </w:p>
        </w:tc>
        <w:tc>
          <w:tcPr>
            <w:tcW w:w="657" w:type="pct"/>
            <w:vMerge w:val="continue"/>
            <w:vAlign w:val="center"/>
          </w:tcPr>
          <w:p w14:paraId="3D363562">
            <w:pPr>
              <w:widowControl/>
              <w:jc w:val="left"/>
              <w:rPr>
                <w:rFonts w:hint="eastAsia" w:ascii="宋体" w:hAnsi="宋体" w:cs="宋体"/>
                <w:bCs/>
                <w:color w:val="000000"/>
                <w:kern w:val="0"/>
                <w:sz w:val="22"/>
                <w:szCs w:val="22"/>
              </w:rPr>
            </w:pPr>
          </w:p>
        </w:tc>
        <w:tc>
          <w:tcPr>
            <w:tcW w:w="2602" w:type="pct"/>
            <w:vAlign w:val="center"/>
          </w:tcPr>
          <w:p w14:paraId="4E09DF5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xml:space="preserve">b) </w:t>
            </w:r>
            <w:r>
              <w:rPr>
                <w:rFonts w:hint="eastAsia" w:ascii="宋体" w:hAnsi="宋体" w:cs="宋体"/>
                <w:b/>
                <w:bCs/>
                <w:color w:val="000000"/>
                <w:kern w:val="0"/>
                <w:sz w:val="22"/>
                <w:szCs w:val="22"/>
              </w:rPr>
              <w:t>重保响应</w:t>
            </w:r>
            <w:r>
              <w:rPr>
                <w:rFonts w:hint="eastAsia" w:ascii="宋体" w:hAnsi="宋体" w:cs="宋体"/>
                <w:color w:val="000000"/>
                <w:kern w:val="0"/>
                <w:sz w:val="22"/>
                <w:szCs w:val="22"/>
              </w:rPr>
              <w:t>：在重大活动保障期间，按要求提供现场值守和技术支持。（一次缺位或响应不力扣3分）</w:t>
            </w:r>
          </w:p>
        </w:tc>
        <w:tc>
          <w:tcPr>
            <w:tcW w:w="257" w:type="pct"/>
            <w:vMerge w:val="continue"/>
            <w:vAlign w:val="center"/>
          </w:tcPr>
          <w:p w14:paraId="03AD68D0">
            <w:pPr>
              <w:widowControl/>
              <w:jc w:val="left"/>
              <w:rPr>
                <w:rFonts w:hint="eastAsia" w:ascii="宋体" w:hAnsi="宋体" w:cs="宋体"/>
                <w:color w:val="000000"/>
                <w:kern w:val="0"/>
                <w:sz w:val="22"/>
                <w:szCs w:val="22"/>
              </w:rPr>
            </w:pPr>
          </w:p>
        </w:tc>
        <w:tc>
          <w:tcPr>
            <w:tcW w:w="257" w:type="pct"/>
            <w:vMerge w:val="continue"/>
            <w:vAlign w:val="center"/>
          </w:tcPr>
          <w:p w14:paraId="7BEAD70A">
            <w:pPr>
              <w:widowControl/>
              <w:jc w:val="left"/>
              <w:rPr>
                <w:rFonts w:hint="eastAsia" w:ascii="宋体" w:hAnsi="宋体" w:cs="宋体"/>
                <w:color w:val="000000"/>
                <w:kern w:val="0"/>
                <w:sz w:val="22"/>
                <w:szCs w:val="22"/>
              </w:rPr>
            </w:pPr>
          </w:p>
        </w:tc>
        <w:tc>
          <w:tcPr>
            <w:tcW w:w="385" w:type="pct"/>
            <w:vMerge w:val="continue"/>
            <w:vAlign w:val="center"/>
          </w:tcPr>
          <w:p w14:paraId="189A05CF">
            <w:pPr>
              <w:widowControl/>
              <w:jc w:val="left"/>
              <w:rPr>
                <w:rFonts w:hint="eastAsia" w:ascii="宋体" w:hAnsi="宋体" w:cs="宋体"/>
                <w:color w:val="000000"/>
                <w:kern w:val="0"/>
                <w:sz w:val="22"/>
                <w:szCs w:val="22"/>
              </w:rPr>
            </w:pPr>
          </w:p>
        </w:tc>
      </w:tr>
      <w:tr w14:paraId="5C50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4B848915">
            <w:pPr>
              <w:widowControl/>
              <w:jc w:val="left"/>
              <w:rPr>
                <w:rFonts w:hint="eastAsia" w:ascii="宋体" w:hAnsi="宋体" w:cs="宋体"/>
                <w:b/>
                <w:bCs/>
                <w:color w:val="000000"/>
                <w:kern w:val="0"/>
                <w:sz w:val="22"/>
                <w:szCs w:val="22"/>
              </w:rPr>
            </w:pPr>
          </w:p>
        </w:tc>
        <w:tc>
          <w:tcPr>
            <w:tcW w:w="452" w:type="pct"/>
            <w:vMerge w:val="continue"/>
            <w:vAlign w:val="center"/>
          </w:tcPr>
          <w:p w14:paraId="481017C7">
            <w:pPr>
              <w:widowControl/>
              <w:jc w:val="left"/>
              <w:rPr>
                <w:rFonts w:hint="eastAsia" w:ascii="宋体" w:hAnsi="宋体" w:cs="宋体"/>
                <w:b/>
                <w:bCs/>
                <w:color w:val="000000"/>
                <w:kern w:val="0"/>
                <w:sz w:val="22"/>
                <w:szCs w:val="22"/>
              </w:rPr>
            </w:pPr>
          </w:p>
        </w:tc>
        <w:tc>
          <w:tcPr>
            <w:tcW w:w="657" w:type="pct"/>
            <w:vMerge w:val="continue"/>
            <w:vAlign w:val="center"/>
          </w:tcPr>
          <w:p w14:paraId="2C50357C">
            <w:pPr>
              <w:widowControl/>
              <w:jc w:val="left"/>
              <w:rPr>
                <w:rFonts w:hint="eastAsia" w:ascii="宋体" w:hAnsi="宋体" w:cs="宋体"/>
                <w:bCs/>
                <w:color w:val="000000"/>
                <w:kern w:val="0"/>
                <w:sz w:val="22"/>
                <w:szCs w:val="22"/>
              </w:rPr>
            </w:pPr>
          </w:p>
        </w:tc>
        <w:tc>
          <w:tcPr>
            <w:tcW w:w="2602" w:type="pct"/>
            <w:vAlign w:val="center"/>
          </w:tcPr>
          <w:p w14:paraId="407C4836">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c) 故障修复：在故障等级相应的响应时间内完成修复，未影响用户使用，未出现用户投诉（一次未满足指标说明要求扣5分。）</w:t>
            </w:r>
          </w:p>
        </w:tc>
        <w:tc>
          <w:tcPr>
            <w:tcW w:w="257" w:type="pct"/>
            <w:vMerge w:val="continue"/>
            <w:vAlign w:val="center"/>
          </w:tcPr>
          <w:p w14:paraId="2B6615AB">
            <w:pPr>
              <w:widowControl/>
              <w:jc w:val="left"/>
              <w:rPr>
                <w:rFonts w:hint="eastAsia" w:ascii="宋体" w:hAnsi="宋体" w:cs="宋体"/>
                <w:color w:val="000000"/>
                <w:kern w:val="0"/>
                <w:sz w:val="22"/>
                <w:szCs w:val="22"/>
              </w:rPr>
            </w:pPr>
          </w:p>
        </w:tc>
        <w:tc>
          <w:tcPr>
            <w:tcW w:w="257" w:type="pct"/>
            <w:vMerge w:val="continue"/>
            <w:vAlign w:val="center"/>
          </w:tcPr>
          <w:p w14:paraId="266F9FD2">
            <w:pPr>
              <w:widowControl/>
              <w:jc w:val="left"/>
              <w:rPr>
                <w:rFonts w:hint="eastAsia" w:ascii="宋体" w:hAnsi="宋体" w:cs="宋体"/>
                <w:color w:val="000000"/>
                <w:kern w:val="0"/>
                <w:sz w:val="22"/>
                <w:szCs w:val="22"/>
              </w:rPr>
            </w:pPr>
          </w:p>
        </w:tc>
        <w:tc>
          <w:tcPr>
            <w:tcW w:w="385" w:type="pct"/>
            <w:vMerge w:val="continue"/>
            <w:vAlign w:val="center"/>
          </w:tcPr>
          <w:p w14:paraId="243F2C7F">
            <w:pPr>
              <w:widowControl/>
              <w:jc w:val="left"/>
              <w:rPr>
                <w:rFonts w:hint="eastAsia" w:ascii="宋体" w:hAnsi="宋体" w:cs="宋体"/>
                <w:color w:val="000000"/>
                <w:kern w:val="0"/>
                <w:sz w:val="22"/>
                <w:szCs w:val="22"/>
              </w:rPr>
            </w:pPr>
          </w:p>
        </w:tc>
      </w:tr>
      <w:tr w14:paraId="0703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388" w:type="pct"/>
            <w:vMerge w:val="continue"/>
            <w:vAlign w:val="center"/>
          </w:tcPr>
          <w:p w14:paraId="018C04FD">
            <w:pPr>
              <w:widowControl/>
              <w:jc w:val="left"/>
              <w:rPr>
                <w:rFonts w:hint="eastAsia" w:ascii="宋体" w:hAnsi="宋体" w:cs="宋体"/>
                <w:b/>
                <w:bCs/>
                <w:color w:val="000000"/>
                <w:kern w:val="0"/>
                <w:sz w:val="22"/>
                <w:szCs w:val="22"/>
              </w:rPr>
            </w:pPr>
          </w:p>
        </w:tc>
        <w:tc>
          <w:tcPr>
            <w:tcW w:w="452" w:type="pct"/>
            <w:vMerge w:val="continue"/>
            <w:vAlign w:val="center"/>
          </w:tcPr>
          <w:p w14:paraId="6490258A">
            <w:pPr>
              <w:widowControl/>
              <w:jc w:val="left"/>
              <w:rPr>
                <w:rFonts w:hint="eastAsia" w:ascii="宋体" w:hAnsi="宋体" w:cs="宋体"/>
                <w:b/>
                <w:bCs/>
                <w:color w:val="000000"/>
                <w:kern w:val="0"/>
                <w:sz w:val="22"/>
                <w:szCs w:val="22"/>
              </w:rPr>
            </w:pPr>
          </w:p>
        </w:tc>
        <w:tc>
          <w:tcPr>
            <w:tcW w:w="657" w:type="pct"/>
            <w:vMerge w:val="restart"/>
            <w:vAlign w:val="center"/>
          </w:tcPr>
          <w:p w14:paraId="533FBBAB">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3. 应用系统稳定运行（10分）</w:t>
            </w:r>
          </w:p>
        </w:tc>
        <w:tc>
          <w:tcPr>
            <w:tcW w:w="2602" w:type="pct"/>
            <w:vAlign w:val="center"/>
          </w:tcPr>
          <w:p w14:paraId="0ABCD5E7">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a) 市政府智慧大院预约报账管理系统：保障系统稳定运行。出现异常情况时，在故障等级相应的响应时间内完成修复，未影响用户使用，未出现用户投诉（一次未满足指标说明要求扣2分。）</w:t>
            </w:r>
          </w:p>
        </w:tc>
        <w:tc>
          <w:tcPr>
            <w:tcW w:w="257" w:type="pct"/>
            <w:vMerge w:val="restart"/>
            <w:vAlign w:val="center"/>
          </w:tcPr>
          <w:p w14:paraId="79E7117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10</w:t>
            </w:r>
          </w:p>
        </w:tc>
        <w:tc>
          <w:tcPr>
            <w:tcW w:w="257" w:type="pct"/>
            <w:vMerge w:val="restart"/>
            <w:vAlign w:val="center"/>
          </w:tcPr>
          <w:p w14:paraId="3F219362">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76489E0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7A05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continue"/>
            <w:vAlign w:val="center"/>
          </w:tcPr>
          <w:p w14:paraId="37C633D8">
            <w:pPr>
              <w:widowControl/>
              <w:jc w:val="left"/>
              <w:rPr>
                <w:rFonts w:hint="eastAsia" w:ascii="宋体" w:hAnsi="宋体" w:cs="宋体"/>
                <w:b/>
                <w:bCs/>
                <w:color w:val="000000"/>
                <w:kern w:val="0"/>
                <w:sz w:val="22"/>
                <w:szCs w:val="22"/>
              </w:rPr>
            </w:pPr>
          </w:p>
        </w:tc>
        <w:tc>
          <w:tcPr>
            <w:tcW w:w="452" w:type="pct"/>
            <w:vMerge w:val="continue"/>
            <w:vAlign w:val="center"/>
          </w:tcPr>
          <w:p w14:paraId="0ED9D2D0">
            <w:pPr>
              <w:widowControl/>
              <w:jc w:val="left"/>
              <w:rPr>
                <w:rFonts w:hint="eastAsia" w:ascii="宋体" w:hAnsi="宋体" w:cs="宋体"/>
                <w:b/>
                <w:bCs/>
                <w:color w:val="000000"/>
                <w:kern w:val="0"/>
                <w:sz w:val="22"/>
                <w:szCs w:val="22"/>
              </w:rPr>
            </w:pPr>
          </w:p>
        </w:tc>
        <w:tc>
          <w:tcPr>
            <w:tcW w:w="657" w:type="pct"/>
            <w:vMerge w:val="continue"/>
            <w:vAlign w:val="center"/>
          </w:tcPr>
          <w:p w14:paraId="7DBF9A48">
            <w:pPr>
              <w:widowControl/>
              <w:jc w:val="left"/>
              <w:rPr>
                <w:rFonts w:hint="eastAsia" w:ascii="宋体" w:hAnsi="宋体" w:cs="宋体"/>
                <w:b/>
                <w:bCs/>
                <w:color w:val="000000"/>
                <w:kern w:val="0"/>
                <w:sz w:val="22"/>
                <w:szCs w:val="22"/>
              </w:rPr>
            </w:pPr>
          </w:p>
        </w:tc>
        <w:tc>
          <w:tcPr>
            <w:tcW w:w="2602" w:type="pct"/>
            <w:vAlign w:val="center"/>
          </w:tcPr>
          <w:p w14:paraId="15030CE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b) 广州市政府值班值守系统：保障系统7x24小时稳定运行，数据安全，功能完整。出现异常情况时，在故障等级相应的响应时间内完成修复，未影响用户使用，未出现用户投诉（一次未满足指标说明要求扣5分。）</w:t>
            </w:r>
          </w:p>
        </w:tc>
        <w:tc>
          <w:tcPr>
            <w:tcW w:w="257" w:type="pct"/>
            <w:vMerge w:val="continue"/>
            <w:vAlign w:val="center"/>
          </w:tcPr>
          <w:p w14:paraId="243D20DA">
            <w:pPr>
              <w:widowControl/>
              <w:jc w:val="left"/>
              <w:rPr>
                <w:rFonts w:hint="eastAsia" w:ascii="宋体" w:hAnsi="宋体" w:cs="宋体"/>
                <w:color w:val="000000"/>
                <w:kern w:val="0"/>
                <w:sz w:val="22"/>
                <w:szCs w:val="22"/>
              </w:rPr>
            </w:pPr>
          </w:p>
        </w:tc>
        <w:tc>
          <w:tcPr>
            <w:tcW w:w="257" w:type="pct"/>
            <w:vMerge w:val="continue"/>
            <w:vAlign w:val="center"/>
          </w:tcPr>
          <w:p w14:paraId="1D759E8E">
            <w:pPr>
              <w:widowControl/>
              <w:jc w:val="left"/>
              <w:rPr>
                <w:rFonts w:hint="eastAsia" w:ascii="宋体" w:hAnsi="宋体" w:cs="宋体"/>
                <w:color w:val="000000"/>
                <w:kern w:val="0"/>
                <w:sz w:val="22"/>
                <w:szCs w:val="22"/>
              </w:rPr>
            </w:pPr>
          </w:p>
        </w:tc>
        <w:tc>
          <w:tcPr>
            <w:tcW w:w="385" w:type="pct"/>
            <w:vMerge w:val="continue"/>
            <w:vAlign w:val="center"/>
          </w:tcPr>
          <w:p w14:paraId="49270EF4">
            <w:pPr>
              <w:widowControl/>
              <w:jc w:val="left"/>
              <w:rPr>
                <w:rFonts w:hint="eastAsia" w:ascii="宋体" w:hAnsi="宋体" w:cs="宋体"/>
                <w:color w:val="000000"/>
                <w:kern w:val="0"/>
                <w:sz w:val="22"/>
                <w:szCs w:val="22"/>
              </w:rPr>
            </w:pPr>
          </w:p>
        </w:tc>
      </w:tr>
      <w:tr w14:paraId="78D7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388" w:type="pct"/>
            <w:vMerge w:val="continue"/>
            <w:vAlign w:val="center"/>
          </w:tcPr>
          <w:p w14:paraId="51D8D00E">
            <w:pPr>
              <w:widowControl/>
              <w:jc w:val="left"/>
              <w:rPr>
                <w:rFonts w:hint="eastAsia" w:ascii="宋体" w:hAnsi="宋体" w:cs="宋体"/>
                <w:b/>
                <w:bCs/>
                <w:color w:val="000000"/>
                <w:kern w:val="0"/>
                <w:sz w:val="22"/>
                <w:szCs w:val="22"/>
              </w:rPr>
            </w:pPr>
          </w:p>
        </w:tc>
        <w:tc>
          <w:tcPr>
            <w:tcW w:w="452" w:type="pct"/>
            <w:vMerge w:val="continue"/>
            <w:vAlign w:val="center"/>
          </w:tcPr>
          <w:p w14:paraId="2ED61A1A">
            <w:pPr>
              <w:widowControl/>
              <w:jc w:val="left"/>
              <w:rPr>
                <w:rFonts w:hint="eastAsia" w:ascii="宋体" w:hAnsi="宋体" w:cs="宋体"/>
                <w:b/>
                <w:bCs/>
                <w:color w:val="000000"/>
                <w:kern w:val="0"/>
                <w:sz w:val="22"/>
                <w:szCs w:val="22"/>
              </w:rPr>
            </w:pPr>
          </w:p>
        </w:tc>
        <w:tc>
          <w:tcPr>
            <w:tcW w:w="657" w:type="pct"/>
            <w:vMerge w:val="continue"/>
            <w:vAlign w:val="center"/>
          </w:tcPr>
          <w:p w14:paraId="070B91E1">
            <w:pPr>
              <w:widowControl/>
              <w:jc w:val="left"/>
              <w:rPr>
                <w:rFonts w:hint="eastAsia" w:ascii="宋体" w:hAnsi="宋体" w:cs="宋体"/>
                <w:b/>
                <w:bCs/>
                <w:color w:val="000000"/>
                <w:kern w:val="0"/>
                <w:sz w:val="22"/>
                <w:szCs w:val="22"/>
              </w:rPr>
            </w:pPr>
          </w:p>
        </w:tc>
        <w:tc>
          <w:tcPr>
            <w:tcW w:w="2602" w:type="pct"/>
            <w:vAlign w:val="center"/>
          </w:tcPr>
          <w:p w14:paraId="7E4CB129">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c) 广东省预算单位财务管理系统（广州分级）：保障系统稳定运行、数据安全，满足财务工作需求。出现异常情况时，在故障等级相应的响应时间内完成修复，未影响用户使用，未出现用户投诉（一次未满足指标说明要求扣5分。）</w:t>
            </w:r>
          </w:p>
        </w:tc>
        <w:tc>
          <w:tcPr>
            <w:tcW w:w="257" w:type="pct"/>
            <w:vMerge w:val="continue"/>
            <w:vAlign w:val="center"/>
          </w:tcPr>
          <w:p w14:paraId="073FB914">
            <w:pPr>
              <w:widowControl/>
              <w:jc w:val="left"/>
              <w:rPr>
                <w:rFonts w:hint="eastAsia" w:ascii="宋体" w:hAnsi="宋体" w:cs="宋体"/>
                <w:color w:val="000000"/>
                <w:kern w:val="0"/>
                <w:sz w:val="22"/>
                <w:szCs w:val="22"/>
              </w:rPr>
            </w:pPr>
          </w:p>
        </w:tc>
        <w:tc>
          <w:tcPr>
            <w:tcW w:w="257" w:type="pct"/>
            <w:vMerge w:val="continue"/>
            <w:vAlign w:val="center"/>
          </w:tcPr>
          <w:p w14:paraId="766EBF7D">
            <w:pPr>
              <w:widowControl/>
              <w:jc w:val="left"/>
              <w:rPr>
                <w:rFonts w:hint="eastAsia" w:ascii="宋体" w:hAnsi="宋体" w:cs="宋体"/>
                <w:color w:val="000000"/>
                <w:kern w:val="0"/>
                <w:sz w:val="22"/>
                <w:szCs w:val="22"/>
              </w:rPr>
            </w:pPr>
          </w:p>
        </w:tc>
        <w:tc>
          <w:tcPr>
            <w:tcW w:w="385" w:type="pct"/>
            <w:vMerge w:val="continue"/>
            <w:vAlign w:val="center"/>
          </w:tcPr>
          <w:p w14:paraId="1175777D">
            <w:pPr>
              <w:widowControl/>
              <w:jc w:val="left"/>
              <w:rPr>
                <w:rFonts w:hint="eastAsia" w:ascii="宋体" w:hAnsi="宋体" w:cs="宋体"/>
                <w:color w:val="000000"/>
                <w:kern w:val="0"/>
                <w:sz w:val="22"/>
                <w:szCs w:val="22"/>
              </w:rPr>
            </w:pPr>
          </w:p>
        </w:tc>
      </w:tr>
      <w:tr w14:paraId="019F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667F4118">
            <w:pPr>
              <w:widowControl/>
              <w:jc w:val="left"/>
              <w:rPr>
                <w:rFonts w:hint="eastAsia" w:ascii="宋体" w:hAnsi="宋体" w:cs="宋体"/>
                <w:b/>
                <w:bCs/>
                <w:color w:val="000000"/>
                <w:kern w:val="0"/>
                <w:sz w:val="22"/>
                <w:szCs w:val="22"/>
              </w:rPr>
            </w:pPr>
          </w:p>
        </w:tc>
        <w:tc>
          <w:tcPr>
            <w:tcW w:w="452" w:type="pct"/>
            <w:vMerge w:val="continue"/>
            <w:vAlign w:val="center"/>
          </w:tcPr>
          <w:p w14:paraId="4D678601">
            <w:pPr>
              <w:widowControl/>
              <w:jc w:val="left"/>
              <w:rPr>
                <w:rFonts w:hint="eastAsia" w:ascii="宋体" w:hAnsi="宋体" w:cs="宋体"/>
                <w:b/>
                <w:bCs/>
                <w:color w:val="000000"/>
                <w:kern w:val="0"/>
                <w:sz w:val="22"/>
                <w:szCs w:val="22"/>
              </w:rPr>
            </w:pPr>
          </w:p>
        </w:tc>
        <w:tc>
          <w:tcPr>
            <w:tcW w:w="657" w:type="pct"/>
            <w:vMerge w:val="continue"/>
            <w:vAlign w:val="center"/>
          </w:tcPr>
          <w:p w14:paraId="39EF4721">
            <w:pPr>
              <w:widowControl/>
              <w:jc w:val="left"/>
              <w:rPr>
                <w:rFonts w:hint="eastAsia" w:ascii="宋体" w:hAnsi="宋体" w:cs="宋体"/>
                <w:b/>
                <w:bCs/>
                <w:color w:val="000000"/>
                <w:kern w:val="0"/>
                <w:sz w:val="22"/>
                <w:szCs w:val="22"/>
              </w:rPr>
            </w:pPr>
          </w:p>
        </w:tc>
        <w:tc>
          <w:tcPr>
            <w:tcW w:w="2602" w:type="pct"/>
            <w:vAlign w:val="center"/>
          </w:tcPr>
          <w:p w14:paraId="2D7AF1F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xml:space="preserve">d) </w:t>
            </w:r>
            <w:r>
              <w:rPr>
                <w:rFonts w:hint="eastAsia" w:ascii="宋体" w:hAnsi="宋体" w:cs="宋体"/>
                <w:b/>
                <w:bCs/>
                <w:color w:val="000000"/>
                <w:kern w:val="0"/>
                <w:sz w:val="22"/>
                <w:szCs w:val="22"/>
              </w:rPr>
              <w:t>云资源使用：</w:t>
            </w:r>
            <w:r>
              <w:rPr>
                <w:rFonts w:hint="eastAsia" w:ascii="宋体" w:hAnsi="宋体" w:cs="宋体"/>
                <w:color w:val="000000"/>
                <w:kern w:val="0"/>
                <w:sz w:val="22"/>
                <w:szCs w:val="22"/>
              </w:rPr>
              <w:t>根据有关要求，按需及时调整上述应用系统配置，避免云资源浪费。（一次未满足指标说明要求扣2分）</w:t>
            </w:r>
          </w:p>
        </w:tc>
        <w:tc>
          <w:tcPr>
            <w:tcW w:w="257" w:type="pct"/>
            <w:vMerge w:val="continue"/>
            <w:vAlign w:val="center"/>
          </w:tcPr>
          <w:p w14:paraId="3D6638E6">
            <w:pPr>
              <w:widowControl/>
              <w:jc w:val="left"/>
              <w:rPr>
                <w:rFonts w:hint="eastAsia" w:ascii="宋体" w:hAnsi="宋体" w:cs="宋体"/>
                <w:color w:val="000000"/>
                <w:kern w:val="0"/>
                <w:sz w:val="22"/>
                <w:szCs w:val="22"/>
              </w:rPr>
            </w:pPr>
          </w:p>
        </w:tc>
        <w:tc>
          <w:tcPr>
            <w:tcW w:w="257" w:type="pct"/>
            <w:vAlign w:val="center"/>
          </w:tcPr>
          <w:p w14:paraId="4FE5739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3D581E9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59C7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53B5AE82">
            <w:pPr>
              <w:widowControl/>
              <w:jc w:val="left"/>
              <w:rPr>
                <w:rFonts w:hint="eastAsia" w:ascii="宋体" w:hAnsi="宋体" w:cs="宋体"/>
                <w:b/>
                <w:bCs/>
                <w:color w:val="000000"/>
                <w:kern w:val="0"/>
                <w:sz w:val="22"/>
                <w:szCs w:val="22"/>
              </w:rPr>
            </w:pPr>
          </w:p>
        </w:tc>
        <w:tc>
          <w:tcPr>
            <w:tcW w:w="452" w:type="pct"/>
            <w:vMerge w:val="restart"/>
            <w:vAlign w:val="center"/>
          </w:tcPr>
          <w:p w14:paraId="20C493D1">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安全服务（10分）</w:t>
            </w:r>
          </w:p>
        </w:tc>
        <w:tc>
          <w:tcPr>
            <w:tcW w:w="657" w:type="pct"/>
            <w:vMerge w:val="restart"/>
            <w:vAlign w:val="center"/>
          </w:tcPr>
          <w:p w14:paraId="35B70D0D">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安全服务执行（10分）</w:t>
            </w:r>
          </w:p>
        </w:tc>
        <w:tc>
          <w:tcPr>
            <w:tcW w:w="2602" w:type="pct"/>
            <w:vAlign w:val="center"/>
          </w:tcPr>
          <w:p w14:paraId="216143A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a) 数据安全风险评估：每月按时提交评估报告，并协助处理有关问题。（一次未满足指标说明要求扣2分）</w:t>
            </w:r>
          </w:p>
        </w:tc>
        <w:tc>
          <w:tcPr>
            <w:tcW w:w="257" w:type="pct"/>
            <w:vMerge w:val="restart"/>
            <w:vAlign w:val="center"/>
          </w:tcPr>
          <w:p w14:paraId="68B9064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10</w:t>
            </w:r>
          </w:p>
        </w:tc>
        <w:tc>
          <w:tcPr>
            <w:tcW w:w="257" w:type="pct"/>
            <w:vMerge w:val="restart"/>
            <w:vAlign w:val="center"/>
          </w:tcPr>
          <w:p w14:paraId="4E206ECA">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6D3A0C96">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6522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continue"/>
            <w:vAlign w:val="center"/>
          </w:tcPr>
          <w:p w14:paraId="431F0C95">
            <w:pPr>
              <w:widowControl/>
              <w:jc w:val="left"/>
              <w:rPr>
                <w:rFonts w:hint="eastAsia" w:ascii="宋体" w:hAnsi="宋体" w:cs="宋体"/>
                <w:b/>
                <w:bCs/>
                <w:color w:val="000000"/>
                <w:kern w:val="0"/>
                <w:sz w:val="22"/>
                <w:szCs w:val="22"/>
              </w:rPr>
            </w:pPr>
          </w:p>
        </w:tc>
        <w:tc>
          <w:tcPr>
            <w:tcW w:w="452" w:type="pct"/>
            <w:vMerge w:val="continue"/>
            <w:vAlign w:val="center"/>
          </w:tcPr>
          <w:p w14:paraId="60DA0085">
            <w:pPr>
              <w:widowControl/>
              <w:jc w:val="left"/>
              <w:rPr>
                <w:rFonts w:hint="eastAsia" w:ascii="宋体" w:hAnsi="宋体" w:cs="宋体"/>
                <w:b/>
                <w:bCs/>
                <w:color w:val="000000"/>
                <w:kern w:val="0"/>
                <w:sz w:val="22"/>
                <w:szCs w:val="22"/>
              </w:rPr>
            </w:pPr>
          </w:p>
        </w:tc>
        <w:tc>
          <w:tcPr>
            <w:tcW w:w="657" w:type="pct"/>
            <w:vMerge w:val="continue"/>
            <w:vAlign w:val="center"/>
          </w:tcPr>
          <w:p w14:paraId="1A2144F0">
            <w:pPr>
              <w:widowControl/>
              <w:jc w:val="left"/>
              <w:rPr>
                <w:rFonts w:hint="eastAsia" w:ascii="宋体" w:hAnsi="宋体" w:cs="宋体"/>
                <w:bCs/>
                <w:color w:val="000000"/>
                <w:kern w:val="0"/>
                <w:sz w:val="22"/>
                <w:szCs w:val="22"/>
              </w:rPr>
            </w:pPr>
          </w:p>
        </w:tc>
        <w:tc>
          <w:tcPr>
            <w:tcW w:w="2602" w:type="pct"/>
            <w:vAlign w:val="center"/>
          </w:tcPr>
          <w:p w14:paraId="72C27E7B">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b) 等级保护与密码测评：按计划如期完成相关应用系统的等级保护测评服务和商用密码测评服务，处理有关问题，及时完成整改。（一次未满足指标说明要求扣2分）</w:t>
            </w:r>
          </w:p>
        </w:tc>
        <w:tc>
          <w:tcPr>
            <w:tcW w:w="257" w:type="pct"/>
            <w:vMerge w:val="continue"/>
            <w:vAlign w:val="center"/>
          </w:tcPr>
          <w:p w14:paraId="21C95204">
            <w:pPr>
              <w:widowControl/>
              <w:jc w:val="left"/>
              <w:rPr>
                <w:rFonts w:hint="eastAsia" w:ascii="宋体" w:hAnsi="宋体" w:cs="宋体"/>
                <w:color w:val="000000"/>
                <w:kern w:val="0"/>
                <w:sz w:val="22"/>
                <w:szCs w:val="22"/>
              </w:rPr>
            </w:pPr>
          </w:p>
        </w:tc>
        <w:tc>
          <w:tcPr>
            <w:tcW w:w="257" w:type="pct"/>
            <w:vMerge w:val="continue"/>
            <w:vAlign w:val="center"/>
          </w:tcPr>
          <w:p w14:paraId="03580C23">
            <w:pPr>
              <w:widowControl/>
              <w:jc w:val="left"/>
              <w:rPr>
                <w:rFonts w:hint="eastAsia" w:ascii="宋体" w:hAnsi="宋体" w:cs="宋体"/>
                <w:color w:val="000000"/>
                <w:kern w:val="0"/>
                <w:sz w:val="22"/>
                <w:szCs w:val="22"/>
              </w:rPr>
            </w:pPr>
          </w:p>
        </w:tc>
        <w:tc>
          <w:tcPr>
            <w:tcW w:w="385" w:type="pct"/>
            <w:vMerge w:val="continue"/>
            <w:vAlign w:val="center"/>
          </w:tcPr>
          <w:p w14:paraId="17FD1D4B">
            <w:pPr>
              <w:widowControl/>
              <w:jc w:val="left"/>
              <w:rPr>
                <w:rFonts w:hint="eastAsia" w:ascii="宋体" w:hAnsi="宋体" w:cs="宋体"/>
                <w:color w:val="000000"/>
                <w:kern w:val="0"/>
                <w:sz w:val="22"/>
                <w:szCs w:val="22"/>
              </w:rPr>
            </w:pPr>
          </w:p>
        </w:tc>
      </w:tr>
      <w:tr w14:paraId="096C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jc w:val="center"/>
        </w:trPr>
        <w:tc>
          <w:tcPr>
            <w:tcW w:w="388" w:type="pct"/>
            <w:vMerge w:val="continue"/>
            <w:vAlign w:val="center"/>
          </w:tcPr>
          <w:p w14:paraId="1ACA9820">
            <w:pPr>
              <w:widowControl/>
              <w:jc w:val="left"/>
              <w:rPr>
                <w:rFonts w:hint="eastAsia" w:ascii="宋体" w:hAnsi="宋体" w:cs="宋体"/>
                <w:b/>
                <w:bCs/>
                <w:color w:val="000000"/>
                <w:kern w:val="0"/>
                <w:sz w:val="22"/>
                <w:szCs w:val="22"/>
              </w:rPr>
            </w:pPr>
          </w:p>
        </w:tc>
        <w:tc>
          <w:tcPr>
            <w:tcW w:w="452" w:type="pct"/>
            <w:vAlign w:val="center"/>
          </w:tcPr>
          <w:p w14:paraId="0AA706DE">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其他服务（5）</w:t>
            </w:r>
          </w:p>
        </w:tc>
        <w:tc>
          <w:tcPr>
            <w:tcW w:w="657" w:type="pct"/>
            <w:vAlign w:val="center"/>
          </w:tcPr>
          <w:p w14:paraId="1A9A985C">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其他交办工作按时按质完成（5分）</w:t>
            </w:r>
          </w:p>
        </w:tc>
        <w:tc>
          <w:tcPr>
            <w:tcW w:w="2602" w:type="pct"/>
            <w:vAlign w:val="center"/>
          </w:tcPr>
          <w:p w14:paraId="5690170B">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业主方或第三方布置的任务及交办的其他事项：根据任务具体计划和要求，严格执行。（一次未满足指标说明要求扣5分）</w:t>
            </w:r>
          </w:p>
        </w:tc>
        <w:tc>
          <w:tcPr>
            <w:tcW w:w="257" w:type="pct"/>
            <w:vAlign w:val="center"/>
          </w:tcPr>
          <w:p w14:paraId="4F1F5AA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5</w:t>
            </w:r>
          </w:p>
        </w:tc>
        <w:tc>
          <w:tcPr>
            <w:tcW w:w="257" w:type="pct"/>
            <w:vAlign w:val="center"/>
          </w:tcPr>
          <w:p w14:paraId="1C18682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0DB20B0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2F8A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continue"/>
            <w:vAlign w:val="center"/>
          </w:tcPr>
          <w:p w14:paraId="3F6758E7">
            <w:pPr>
              <w:widowControl/>
              <w:jc w:val="left"/>
              <w:rPr>
                <w:rFonts w:hint="eastAsia" w:ascii="宋体" w:hAnsi="宋体" w:cs="宋体"/>
                <w:b/>
                <w:bCs/>
                <w:color w:val="000000"/>
                <w:kern w:val="0"/>
                <w:sz w:val="22"/>
                <w:szCs w:val="22"/>
              </w:rPr>
            </w:pPr>
          </w:p>
        </w:tc>
        <w:tc>
          <w:tcPr>
            <w:tcW w:w="452" w:type="pct"/>
            <w:vMerge w:val="restart"/>
            <w:vAlign w:val="center"/>
          </w:tcPr>
          <w:p w14:paraId="6407BE54">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响应型服务质量（10分）</w:t>
            </w:r>
          </w:p>
        </w:tc>
        <w:tc>
          <w:tcPr>
            <w:tcW w:w="657" w:type="pct"/>
            <w:vAlign w:val="center"/>
          </w:tcPr>
          <w:p w14:paraId="64278784">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事件响应情况（2分）</w:t>
            </w:r>
          </w:p>
        </w:tc>
        <w:tc>
          <w:tcPr>
            <w:tcW w:w="2602" w:type="pct"/>
            <w:vAlign w:val="center"/>
          </w:tcPr>
          <w:p w14:paraId="60AB6B94">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运维实施过程中对于故障事件响应：在约定的时间内做出响应，未出现超时响应，未出现用户投诉（一次未满足指标说明要求扣1分）</w:t>
            </w:r>
          </w:p>
        </w:tc>
        <w:tc>
          <w:tcPr>
            <w:tcW w:w="257" w:type="pct"/>
            <w:vAlign w:val="center"/>
          </w:tcPr>
          <w:p w14:paraId="573207F3">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w:t>
            </w:r>
          </w:p>
        </w:tc>
        <w:tc>
          <w:tcPr>
            <w:tcW w:w="257" w:type="pct"/>
            <w:vAlign w:val="center"/>
          </w:tcPr>
          <w:p w14:paraId="2C919AE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790343DF">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7FA7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continue"/>
            <w:vAlign w:val="center"/>
          </w:tcPr>
          <w:p w14:paraId="0A1B4663">
            <w:pPr>
              <w:widowControl/>
              <w:jc w:val="left"/>
              <w:rPr>
                <w:rFonts w:hint="eastAsia" w:ascii="宋体" w:hAnsi="宋体" w:cs="宋体"/>
                <w:b/>
                <w:bCs/>
                <w:color w:val="000000"/>
                <w:kern w:val="0"/>
                <w:sz w:val="22"/>
                <w:szCs w:val="22"/>
              </w:rPr>
            </w:pPr>
          </w:p>
        </w:tc>
        <w:tc>
          <w:tcPr>
            <w:tcW w:w="452" w:type="pct"/>
            <w:vMerge w:val="continue"/>
            <w:vAlign w:val="center"/>
          </w:tcPr>
          <w:p w14:paraId="427795A4">
            <w:pPr>
              <w:widowControl/>
              <w:jc w:val="left"/>
              <w:rPr>
                <w:rFonts w:hint="eastAsia" w:ascii="宋体" w:hAnsi="宋体" w:cs="宋体"/>
                <w:b/>
                <w:bCs/>
                <w:color w:val="000000"/>
                <w:kern w:val="0"/>
                <w:sz w:val="22"/>
                <w:szCs w:val="22"/>
              </w:rPr>
            </w:pPr>
          </w:p>
        </w:tc>
        <w:tc>
          <w:tcPr>
            <w:tcW w:w="657" w:type="pct"/>
            <w:vAlign w:val="center"/>
          </w:tcPr>
          <w:p w14:paraId="15671D1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事件处理情况（4分）</w:t>
            </w:r>
          </w:p>
        </w:tc>
        <w:tc>
          <w:tcPr>
            <w:tcW w:w="2602" w:type="pct"/>
            <w:vAlign w:val="center"/>
          </w:tcPr>
          <w:p w14:paraId="354EE49E">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在约定的时间内完成故障与事件处理，未出现超时处置，未出现用户投诉（一次未满足指标说明要求扣2分）</w:t>
            </w:r>
          </w:p>
        </w:tc>
        <w:tc>
          <w:tcPr>
            <w:tcW w:w="257" w:type="pct"/>
            <w:vAlign w:val="center"/>
          </w:tcPr>
          <w:p w14:paraId="7BADDF41">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4</w:t>
            </w:r>
          </w:p>
        </w:tc>
        <w:tc>
          <w:tcPr>
            <w:tcW w:w="257" w:type="pct"/>
            <w:vAlign w:val="center"/>
          </w:tcPr>
          <w:p w14:paraId="6573DF5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61C3DF3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0350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continue"/>
            <w:vAlign w:val="center"/>
          </w:tcPr>
          <w:p w14:paraId="102E4407">
            <w:pPr>
              <w:widowControl/>
              <w:jc w:val="left"/>
              <w:rPr>
                <w:rFonts w:hint="eastAsia" w:ascii="宋体" w:hAnsi="宋体" w:cs="宋体"/>
                <w:b/>
                <w:bCs/>
                <w:color w:val="000000"/>
                <w:kern w:val="0"/>
                <w:sz w:val="22"/>
                <w:szCs w:val="22"/>
              </w:rPr>
            </w:pPr>
          </w:p>
        </w:tc>
        <w:tc>
          <w:tcPr>
            <w:tcW w:w="452" w:type="pct"/>
            <w:vMerge w:val="continue"/>
            <w:vAlign w:val="center"/>
          </w:tcPr>
          <w:p w14:paraId="79CBC6E4">
            <w:pPr>
              <w:widowControl/>
              <w:jc w:val="left"/>
              <w:rPr>
                <w:rFonts w:hint="eastAsia" w:ascii="宋体" w:hAnsi="宋体" w:cs="宋体"/>
                <w:b/>
                <w:bCs/>
                <w:color w:val="000000"/>
                <w:kern w:val="0"/>
                <w:sz w:val="22"/>
                <w:szCs w:val="22"/>
              </w:rPr>
            </w:pPr>
          </w:p>
        </w:tc>
        <w:tc>
          <w:tcPr>
            <w:tcW w:w="657" w:type="pct"/>
            <w:vAlign w:val="center"/>
          </w:tcPr>
          <w:p w14:paraId="7BB6EB44">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事件处理报告（4分）</w:t>
            </w:r>
          </w:p>
        </w:tc>
        <w:tc>
          <w:tcPr>
            <w:tcW w:w="2602" w:type="pct"/>
            <w:vAlign w:val="center"/>
          </w:tcPr>
          <w:p w14:paraId="3AB83D4E">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故障处理分析报告（含根因分析、影响范围、改进措施）需在故障处理完成后24小时内提交，报告内容简洁清晰、重点突出、原因分析深入、解决方案合理有效（一次未满足指标说明要求扣2分）</w:t>
            </w:r>
          </w:p>
        </w:tc>
        <w:tc>
          <w:tcPr>
            <w:tcW w:w="257" w:type="pct"/>
            <w:vAlign w:val="center"/>
          </w:tcPr>
          <w:p w14:paraId="2D536536">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4</w:t>
            </w:r>
          </w:p>
        </w:tc>
        <w:tc>
          <w:tcPr>
            <w:tcW w:w="257" w:type="pct"/>
            <w:vAlign w:val="center"/>
          </w:tcPr>
          <w:p w14:paraId="7C479802">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5B60817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46CA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restart"/>
            <w:vAlign w:val="center"/>
          </w:tcPr>
          <w:p w14:paraId="6F58E771">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运维工作文档报告质量（15分）</w:t>
            </w:r>
          </w:p>
        </w:tc>
        <w:tc>
          <w:tcPr>
            <w:tcW w:w="452" w:type="pct"/>
            <w:vMerge w:val="restart"/>
            <w:vAlign w:val="center"/>
          </w:tcPr>
          <w:p w14:paraId="3F1EA618">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周期性报告质量（9分）</w:t>
            </w:r>
          </w:p>
        </w:tc>
        <w:tc>
          <w:tcPr>
            <w:tcW w:w="657" w:type="pct"/>
            <w:vMerge w:val="restart"/>
            <w:vAlign w:val="center"/>
          </w:tcPr>
          <w:p w14:paraId="05E6938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周期性报告质量（9分）</w:t>
            </w:r>
          </w:p>
        </w:tc>
        <w:tc>
          <w:tcPr>
            <w:tcW w:w="2602" w:type="pct"/>
            <w:vAlign w:val="center"/>
          </w:tcPr>
          <w:p w14:paraId="774E7CEB">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包括每日巡检报告、每周巡检报告、每月巡检报告等，是否在规定时间内提交，是否简洁清晰、重点突出、分析深入、建议合理（一次未满足指标说明要求扣3分）</w:t>
            </w:r>
          </w:p>
          <w:p w14:paraId="6EA1790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特别要求：</w:t>
            </w:r>
          </w:p>
          <w:p w14:paraId="1DF041A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视频会议系统和LED屏的季度巡检报告需由相关设备维护专业技术人员提供，且报告需包含设备运行状态、异常处理情况及改进建议。</w:t>
            </w:r>
          </w:p>
          <w:p w14:paraId="1C56B595">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各应用系统（值班、财务、报账）需提供月度运行分析简报。</w:t>
            </w:r>
          </w:p>
        </w:tc>
        <w:tc>
          <w:tcPr>
            <w:tcW w:w="257" w:type="pct"/>
            <w:vMerge w:val="restart"/>
            <w:vAlign w:val="center"/>
          </w:tcPr>
          <w:p w14:paraId="58734D4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9</w:t>
            </w:r>
          </w:p>
        </w:tc>
        <w:tc>
          <w:tcPr>
            <w:tcW w:w="257" w:type="pct"/>
            <w:vMerge w:val="restart"/>
            <w:vAlign w:val="center"/>
          </w:tcPr>
          <w:p w14:paraId="0D28BE86">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62D2043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2B95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28655491">
            <w:pPr>
              <w:widowControl/>
              <w:jc w:val="left"/>
              <w:rPr>
                <w:rFonts w:hint="eastAsia" w:ascii="宋体" w:hAnsi="宋体" w:cs="宋体"/>
                <w:b/>
                <w:bCs/>
                <w:color w:val="000000"/>
                <w:kern w:val="0"/>
                <w:sz w:val="22"/>
                <w:szCs w:val="22"/>
              </w:rPr>
            </w:pPr>
          </w:p>
        </w:tc>
        <w:tc>
          <w:tcPr>
            <w:tcW w:w="452" w:type="pct"/>
            <w:vMerge w:val="restart"/>
            <w:vAlign w:val="center"/>
          </w:tcPr>
          <w:p w14:paraId="6E47EAB7">
            <w:pPr>
              <w:widowControl/>
              <w:jc w:val="left"/>
              <w:rPr>
                <w:rFonts w:hint="eastAsia" w:ascii="宋体" w:hAnsi="宋体" w:cs="宋体"/>
                <w:bCs/>
                <w:color w:val="000000"/>
                <w:kern w:val="0"/>
                <w:sz w:val="22"/>
                <w:szCs w:val="22"/>
              </w:rPr>
            </w:pPr>
            <w:r>
              <w:rPr>
                <w:rFonts w:hint="eastAsia" w:ascii="宋体" w:hAnsi="宋体" w:cs="宋体"/>
                <w:bCs/>
                <w:color w:val="000000"/>
                <w:kern w:val="0"/>
                <w:sz w:val="22"/>
                <w:szCs w:val="22"/>
              </w:rPr>
              <w:t>非周期性产出物质量（6分）</w:t>
            </w:r>
          </w:p>
        </w:tc>
        <w:tc>
          <w:tcPr>
            <w:tcW w:w="657" w:type="pct"/>
            <w:vMerge w:val="restart"/>
            <w:vAlign w:val="center"/>
          </w:tcPr>
          <w:p w14:paraId="3D7AE39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非周期性产出物质量（6分）</w:t>
            </w:r>
          </w:p>
        </w:tc>
        <w:tc>
          <w:tcPr>
            <w:tcW w:w="2602" w:type="pct"/>
            <w:vAlign w:val="center"/>
          </w:tcPr>
          <w:p w14:paraId="1E61875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本月度运维过程文档基本符合要求。如专题报告、优化方案等，是否简洁清晰、重点突出、分析深入、建议合理（一次未满足指标说明要求扣2分）</w:t>
            </w:r>
          </w:p>
          <w:p w14:paraId="2CDE2FE9">
            <w:pPr>
              <w:widowControl/>
              <w:jc w:val="left"/>
              <w:rPr>
                <w:rFonts w:hint="eastAsia" w:ascii="宋体" w:hAnsi="宋体" w:cs="宋体"/>
                <w:color w:val="000000"/>
                <w:kern w:val="0"/>
                <w:sz w:val="22"/>
                <w:szCs w:val="22"/>
              </w:rPr>
            </w:pPr>
            <w:r>
              <w:rPr>
                <w:rFonts w:hint="eastAsia" w:ascii="宋体" w:hAnsi="宋体" w:cs="宋体"/>
                <w:b/>
                <w:bCs/>
                <w:color w:val="000000"/>
                <w:kern w:val="0"/>
                <w:sz w:val="22"/>
                <w:szCs w:val="22"/>
              </w:rPr>
              <w:t>特别要求</w:t>
            </w:r>
            <w:r>
              <w:rPr>
                <w:rFonts w:hint="eastAsia" w:ascii="宋体" w:hAnsi="宋体" w:cs="宋体"/>
                <w:color w:val="000000"/>
                <w:kern w:val="0"/>
                <w:sz w:val="22"/>
                <w:szCs w:val="22"/>
              </w:rPr>
              <w:t>：视频会议系统和LED屏的专项维护报告需在事件处理后24小时内提交，需包含故障原因分析、处理过程及预防措施。</w:t>
            </w:r>
          </w:p>
        </w:tc>
        <w:tc>
          <w:tcPr>
            <w:tcW w:w="257" w:type="pct"/>
            <w:vMerge w:val="restart"/>
            <w:vAlign w:val="center"/>
          </w:tcPr>
          <w:p w14:paraId="5CC7548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6</w:t>
            </w:r>
          </w:p>
        </w:tc>
        <w:tc>
          <w:tcPr>
            <w:tcW w:w="257" w:type="pct"/>
            <w:vMerge w:val="restart"/>
            <w:vAlign w:val="center"/>
          </w:tcPr>
          <w:p w14:paraId="533431D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6F23B3B5">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550A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restart"/>
            <w:vAlign w:val="center"/>
          </w:tcPr>
          <w:p w14:paraId="10A551F7">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运维服务合规性（4分）</w:t>
            </w:r>
          </w:p>
        </w:tc>
        <w:tc>
          <w:tcPr>
            <w:tcW w:w="452" w:type="pct"/>
            <w:vMerge w:val="restart"/>
            <w:vAlign w:val="center"/>
          </w:tcPr>
          <w:p w14:paraId="7E06AF9B">
            <w:pPr>
              <w:widowControl/>
              <w:jc w:val="center"/>
              <w:rPr>
                <w:rFonts w:hint="eastAsia" w:ascii="宋体" w:hAnsi="宋体" w:cs="宋体"/>
                <w:bCs/>
                <w:color w:val="000000"/>
                <w:kern w:val="0"/>
                <w:sz w:val="22"/>
                <w:szCs w:val="22"/>
              </w:rPr>
            </w:pPr>
            <w:r>
              <w:rPr>
                <w:rFonts w:hint="eastAsia" w:ascii="宋体" w:hAnsi="宋体" w:cs="宋体"/>
                <w:bCs/>
                <w:color w:val="000000"/>
                <w:kern w:val="0"/>
                <w:sz w:val="22"/>
                <w:szCs w:val="22"/>
              </w:rPr>
              <w:t>制度与流程（4分）</w:t>
            </w:r>
          </w:p>
        </w:tc>
        <w:tc>
          <w:tcPr>
            <w:tcW w:w="657" w:type="pct"/>
            <w:vAlign w:val="center"/>
          </w:tcPr>
          <w:p w14:paraId="6D345D5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制度完善情况（2分）</w:t>
            </w:r>
          </w:p>
        </w:tc>
        <w:tc>
          <w:tcPr>
            <w:tcW w:w="2602" w:type="pct"/>
            <w:vAlign w:val="center"/>
          </w:tcPr>
          <w:p w14:paraId="52453AB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积极主动配合执行运维管理规范和绩效管理规范（2分）；项目组内部岗位职责明确，权责清晰，各岗位工程师能按岗位职责执行运维工作（2分）。（一次未满足指标说明要求扣2分）</w:t>
            </w:r>
          </w:p>
        </w:tc>
        <w:tc>
          <w:tcPr>
            <w:tcW w:w="257" w:type="pct"/>
            <w:vMerge w:val="restart"/>
            <w:vAlign w:val="center"/>
          </w:tcPr>
          <w:p w14:paraId="2981DE51">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4</w:t>
            </w:r>
          </w:p>
        </w:tc>
        <w:tc>
          <w:tcPr>
            <w:tcW w:w="257" w:type="pct"/>
            <w:vAlign w:val="center"/>
          </w:tcPr>
          <w:p w14:paraId="6D9B514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4AE5CAAA">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3BB5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388" w:type="pct"/>
            <w:vMerge w:val="continue"/>
            <w:vAlign w:val="center"/>
          </w:tcPr>
          <w:p w14:paraId="18F4CC11">
            <w:pPr>
              <w:widowControl/>
              <w:jc w:val="left"/>
              <w:rPr>
                <w:rFonts w:hint="eastAsia" w:ascii="宋体" w:hAnsi="宋体" w:cs="宋体"/>
                <w:b/>
                <w:bCs/>
                <w:color w:val="000000"/>
                <w:kern w:val="0"/>
                <w:sz w:val="22"/>
                <w:szCs w:val="22"/>
              </w:rPr>
            </w:pPr>
          </w:p>
        </w:tc>
        <w:tc>
          <w:tcPr>
            <w:tcW w:w="452" w:type="pct"/>
            <w:vMerge w:val="continue"/>
            <w:vAlign w:val="center"/>
          </w:tcPr>
          <w:p w14:paraId="6CC39B07">
            <w:pPr>
              <w:widowControl/>
              <w:jc w:val="left"/>
              <w:rPr>
                <w:rFonts w:hint="eastAsia" w:ascii="宋体" w:hAnsi="宋体" w:cs="宋体"/>
                <w:b/>
                <w:bCs/>
                <w:color w:val="000000"/>
                <w:kern w:val="0"/>
                <w:sz w:val="22"/>
                <w:szCs w:val="22"/>
              </w:rPr>
            </w:pPr>
          </w:p>
        </w:tc>
        <w:tc>
          <w:tcPr>
            <w:tcW w:w="657" w:type="pct"/>
            <w:vAlign w:val="center"/>
          </w:tcPr>
          <w:p w14:paraId="60AD18A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运维管理流程的合规性（2分）</w:t>
            </w:r>
          </w:p>
        </w:tc>
        <w:tc>
          <w:tcPr>
            <w:tcW w:w="2602" w:type="pct"/>
            <w:vAlign w:val="center"/>
          </w:tcPr>
          <w:p w14:paraId="55AE4495">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按照运维管理流程执行，做到及时申请请示、及时报告（2分）。（一次未满足指标说明要求扣1分）</w:t>
            </w:r>
          </w:p>
        </w:tc>
        <w:tc>
          <w:tcPr>
            <w:tcW w:w="257" w:type="pct"/>
            <w:vMerge w:val="continue"/>
            <w:vAlign w:val="center"/>
          </w:tcPr>
          <w:p w14:paraId="79BF5035">
            <w:pPr>
              <w:widowControl/>
              <w:jc w:val="left"/>
              <w:rPr>
                <w:rFonts w:hint="eastAsia" w:ascii="宋体" w:hAnsi="宋体" w:cs="宋体"/>
                <w:color w:val="000000"/>
                <w:kern w:val="0"/>
                <w:sz w:val="22"/>
                <w:szCs w:val="22"/>
              </w:rPr>
            </w:pPr>
          </w:p>
        </w:tc>
        <w:tc>
          <w:tcPr>
            <w:tcW w:w="257" w:type="pct"/>
            <w:vAlign w:val="center"/>
          </w:tcPr>
          <w:p w14:paraId="2EA3840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3C802F3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44DA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388" w:type="pct"/>
            <w:vMerge w:val="restart"/>
            <w:vAlign w:val="center"/>
          </w:tcPr>
          <w:p w14:paraId="645BFAAF">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能力与可持续性（6分）</w:t>
            </w:r>
          </w:p>
        </w:tc>
        <w:tc>
          <w:tcPr>
            <w:tcW w:w="452" w:type="pct"/>
            <w:vMerge w:val="restart"/>
            <w:vAlign w:val="center"/>
          </w:tcPr>
          <w:p w14:paraId="3347AB56">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团队稳定性（3分）</w:t>
            </w:r>
          </w:p>
        </w:tc>
        <w:tc>
          <w:tcPr>
            <w:tcW w:w="657" w:type="pct"/>
            <w:vAlign w:val="center"/>
          </w:tcPr>
          <w:p w14:paraId="001EA39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团队成员符合合同要求（1分）</w:t>
            </w:r>
          </w:p>
        </w:tc>
        <w:tc>
          <w:tcPr>
            <w:tcW w:w="2602" w:type="pct"/>
            <w:vAlign w:val="center"/>
          </w:tcPr>
          <w:p w14:paraId="15E6C71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本月度实际运维团队成员符合合同要求（一次未满足指标说明要求扣1分）</w:t>
            </w:r>
          </w:p>
        </w:tc>
        <w:tc>
          <w:tcPr>
            <w:tcW w:w="257" w:type="pct"/>
            <w:vMerge w:val="restart"/>
            <w:vAlign w:val="center"/>
          </w:tcPr>
          <w:p w14:paraId="2E636B8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3</w:t>
            </w:r>
          </w:p>
        </w:tc>
        <w:tc>
          <w:tcPr>
            <w:tcW w:w="257" w:type="pct"/>
            <w:vAlign w:val="center"/>
          </w:tcPr>
          <w:p w14:paraId="1332AD4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2FC3B419">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5CE6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388" w:type="pct"/>
            <w:vMerge w:val="continue"/>
            <w:vAlign w:val="center"/>
          </w:tcPr>
          <w:p w14:paraId="63DC53B3">
            <w:pPr>
              <w:widowControl/>
              <w:jc w:val="left"/>
              <w:rPr>
                <w:rFonts w:hint="eastAsia" w:ascii="宋体" w:hAnsi="宋体" w:cs="宋体"/>
                <w:b/>
                <w:bCs/>
                <w:color w:val="000000"/>
                <w:kern w:val="0"/>
                <w:sz w:val="22"/>
                <w:szCs w:val="22"/>
              </w:rPr>
            </w:pPr>
          </w:p>
        </w:tc>
        <w:tc>
          <w:tcPr>
            <w:tcW w:w="452" w:type="pct"/>
            <w:vMerge w:val="continue"/>
            <w:vAlign w:val="center"/>
          </w:tcPr>
          <w:p w14:paraId="62E7D1BF">
            <w:pPr>
              <w:widowControl/>
              <w:jc w:val="left"/>
              <w:rPr>
                <w:rFonts w:hint="eastAsia" w:ascii="宋体" w:hAnsi="宋体" w:cs="宋体"/>
                <w:b/>
                <w:bCs/>
                <w:color w:val="000000"/>
                <w:kern w:val="0"/>
                <w:sz w:val="22"/>
                <w:szCs w:val="22"/>
              </w:rPr>
            </w:pPr>
          </w:p>
        </w:tc>
        <w:tc>
          <w:tcPr>
            <w:tcW w:w="657" w:type="pct"/>
            <w:vAlign w:val="center"/>
          </w:tcPr>
          <w:p w14:paraId="43E3085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关键员工流失/人员变更（1分）</w:t>
            </w:r>
          </w:p>
        </w:tc>
        <w:tc>
          <w:tcPr>
            <w:tcW w:w="2602" w:type="pct"/>
            <w:vAlign w:val="center"/>
          </w:tcPr>
          <w:p w14:paraId="7F7C0D98">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本月度未出现未经批准的关键岗位人员变动（一次未满足指标说明要求扣1分）</w:t>
            </w:r>
          </w:p>
        </w:tc>
        <w:tc>
          <w:tcPr>
            <w:tcW w:w="257" w:type="pct"/>
            <w:vMerge w:val="continue"/>
            <w:vAlign w:val="center"/>
          </w:tcPr>
          <w:p w14:paraId="212F8213">
            <w:pPr>
              <w:widowControl/>
              <w:jc w:val="left"/>
              <w:rPr>
                <w:rFonts w:hint="eastAsia" w:ascii="宋体" w:hAnsi="宋体" w:cs="宋体"/>
                <w:color w:val="000000"/>
                <w:kern w:val="0"/>
                <w:sz w:val="22"/>
                <w:szCs w:val="22"/>
              </w:rPr>
            </w:pPr>
          </w:p>
        </w:tc>
        <w:tc>
          <w:tcPr>
            <w:tcW w:w="257" w:type="pct"/>
            <w:vAlign w:val="center"/>
          </w:tcPr>
          <w:p w14:paraId="3C1F9E6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5309B8F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4087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Merge w:val="continue"/>
            <w:vAlign w:val="center"/>
          </w:tcPr>
          <w:p w14:paraId="5B0B9E15">
            <w:pPr>
              <w:widowControl/>
              <w:jc w:val="left"/>
              <w:rPr>
                <w:rFonts w:hint="eastAsia" w:ascii="宋体" w:hAnsi="宋体" w:cs="宋体"/>
                <w:b/>
                <w:bCs/>
                <w:color w:val="000000"/>
                <w:kern w:val="0"/>
                <w:sz w:val="22"/>
                <w:szCs w:val="22"/>
              </w:rPr>
            </w:pPr>
          </w:p>
        </w:tc>
        <w:tc>
          <w:tcPr>
            <w:tcW w:w="452" w:type="pct"/>
            <w:vMerge w:val="continue"/>
            <w:vAlign w:val="center"/>
          </w:tcPr>
          <w:p w14:paraId="26DAEA27">
            <w:pPr>
              <w:widowControl/>
              <w:jc w:val="left"/>
              <w:rPr>
                <w:rFonts w:hint="eastAsia" w:ascii="宋体" w:hAnsi="宋体" w:cs="宋体"/>
                <w:b/>
                <w:bCs/>
                <w:color w:val="000000"/>
                <w:kern w:val="0"/>
                <w:sz w:val="22"/>
                <w:szCs w:val="22"/>
              </w:rPr>
            </w:pPr>
          </w:p>
        </w:tc>
        <w:tc>
          <w:tcPr>
            <w:tcW w:w="657" w:type="pct"/>
            <w:vAlign w:val="center"/>
          </w:tcPr>
          <w:p w14:paraId="66DBFBD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重保期人员考勤（1分）</w:t>
            </w:r>
          </w:p>
        </w:tc>
        <w:tc>
          <w:tcPr>
            <w:tcW w:w="2602" w:type="pct"/>
            <w:vAlign w:val="center"/>
          </w:tcPr>
          <w:p w14:paraId="6DD2B635">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重保期人员出勤情况正常，无迟到、缺勤（一次未满足指标说明要求扣1分）</w:t>
            </w:r>
          </w:p>
        </w:tc>
        <w:tc>
          <w:tcPr>
            <w:tcW w:w="257" w:type="pct"/>
            <w:vMerge w:val="continue"/>
            <w:vAlign w:val="center"/>
          </w:tcPr>
          <w:p w14:paraId="43C7D9F0">
            <w:pPr>
              <w:widowControl/>
              <w:jc w:val="left"/>
              <w:rPr>
                <w:rFonts w:hint="eastAsia" w:ascii="宋体" w:hAnsi="宋体" w:cs="宋体"/>
                <w:color w:val="000000"/>
                <w:kern w:val="0"/>
                <w:sz w:val="22"/>
                <w:szCs w:val="22"/>
              </w:rPr>
            </w:pPr>
          </w:p>
        </w:tc>
        <w:tc>
          <w:tcPr>
            <w:tcW w:w="257" w:type="pct"/>
            <w:vAlign w:val="center"/>
          </w:tcPr>
          <w:p w14:paraId="4DE6C07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1D37E31F">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71A9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39791EB5">
            <w:pPr>
              <w:widowControl/>
              <w:jc w:val="left"/>
              <w:rPr>
                <w:rFonts w:hint="eastAsia" w:ascii="宋体" w:hAnsi="宋体" w:cs="宋体"/>
                <w:b/>
                <w:bCs/>
                <w:color w:val="000000"/>
                <w:kern w:val="0"/>
                <w:sz w:val="22"/>
                <w:szCs w:val="22"/>
              </w:rPr>
            </w:pPr>
          </w:p>
        </w:tc>
        <w:tc>
          <w:tcPr>
            <w:tcW w:w="452" w:type="pct"/>
            <w:vMerge w:val="restart"/>
            <w:vAlign w:val="center"/>
          </w:tcPr>
          <w:p w14:paraId="1B69ED6E">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人员能力（3分）</w:t>
            </w:r>
          </w:p>
        </w:tc>
        <w:tc>
          <w:tcPr>
            <w:tcW w:w="657" w:type="pct"/>
            <w:vMerge w:val="restart"/>
            <w:vAlign w:val="center"/>
          </w:tcPr>
          <w:p w14:paraId="36E9AE9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人员技能与调配（3分）</w:t>
            </w:r>
          </w:p>
        </w:tc>
        <w:tc>
          <w:tcPr>
            <w:tcW w:w="2602" w:type="pct"/>
            <w:vAlign w:val="center"/>
          </w:tcPr>
          <w:p w14:paraId="5F7C2385">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a) 运维单位配备人员须经建设单位同意，并提出人员补充的解决预案。（1分）</w:t>
            </w:r>
          </w:p>
        </w:tc>
        <w:tc>
          <w:tcPr>
            <w:tcW w:w="257" w:type="pct"/>
            <w:vMerge w:val="restart"/>
            <w:vAlign w:val="center"/>
          </w:tcPr>
          <w:p w14:paraId="7C9C0D3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3</w:t>
            </w:r>
          </w:p>
        </w:tc>
        <w:tc>
          <w:tcPr>
            <w:tcW w:w="257" w:type="pct"/>
            <w:vMerge w:val="restart"/>
            <w:vAlign w:val="center"/>
          </w:tcPr>
          <w:p w14:paraId="75A113FC">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5C2A2CC4">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4300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88" w:type="pct"/>
            <w:vMerge w:val="continue"/>
            <w:vAlign w:val="center"/>
          </w:tcPr>
          <w:p w14:paraId="4639DBE9">
            <w:pPr>
              <w:widowControl/>
              <w:jc w:val="left"/>
              <w:rPr>
                <w:rFonts w:hint="eastAsia" w:ascii="宋体" w:hAnsi="宋体" w:cs="宋体"/>
                <w:b/>
                <w:bCs/>
                <w:color w:val="000000"/>
                <w:kern w:val="0"/>
                <w:sz w:val="22"/>
                <w:szCs w:val="22"/>
              </w:rPr>
            </w:pPr>
          </w:p>
        </w:tc>
        <w:tc>
          <w:tcPr>
            <w:tcW w:w="452" w:type="pct"/>
            <w:vMerge w:val="continue"/>
            <w:vAlign w:val="center"/>
          </w:tcPr>
          <w:p w14:paraId="6F6FCAC6">
            <w:pPr>
              <w:widowControl/>
              <w:jc w:val="left"/>
              <w:rPr>
                <w:rFonts w:hint="eastAsia" w:ascii="宋体" w:hAnsi="宋体" w:cs="宋体"/>
                <w:b/>
                <w:bCs/>
                <w:color w:val="000000"/>
                <w:kern w:val="0"/>
                <w:sz w:val="22"/>
                <w:szCs w:val="22"/>
              </w:rPr>
            </w:pPr>
          </w:p>
        </w:tc>
        <w:tc>
          <w:tcPr>
            <w:tcW w:w="657" w:type="pct"/>
            <w:vMerge w:val="continue"/>
            <w:vAlign w:val="center"/>
          </w:tcPr>
          <w:p w14:paraId="01C9CB8A">
            <w:pPr>
              <w:widowControl/>
              <w:jc w:val="left"/>
              <w:rPr>
                <w:rFonts w:hint="eastAsia" w:ascii="宋体" w:hAnsi="宋体" w:cs="宋体"/>
                <w:color w:val="000000"/>
                <w:kern w:val="0"/>
                <w:sz w:val="22"/>
                <w:szCs w:val="22"/>
              </w:rPr>
            </w:pPr>
          </w:p>
        </w:tc>
        <w:tc>
          <w:tcPr>
            <w:tcW w:w="2602" w:type="pct"/>
            <w:vAlign w:val="center"/>
          </w:tcPr>
          <w:p w14:paraId="0E536D02">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b) 团队成员具备履行其岗位职责所需的专业技能，未出现因技能不足导致的误操作或延误。（2分）（一次未满足指标说明要求扣2分）</w:t>
            </w:r>
          </w:p>
        </w:tc>
        <w:tc>
          <w:tcPr>
            <w:tcW w:w="257" w:type="pct"/>
            <w:vMerge w:val="continue"/>
            <w:vAlign w:val="center"/>
          </w:tcPr>
          <w:p w14:paraId="06D67FE7">
            <w:pPr>
              <w:widowControl/>
              <w:jc w:val="left"/>
              <w:rPr>
                <w:rFonts w:hint="eastAsia" w:ascii="宋体" w:hAnsi="宋体" w:cs="宋体"/>
                <w:color w:val="000000"/>
                <w:kern w:val="0"/>
                <w:sz w:val="22"/>
                <w:szCs w:val="22"/>
              </w:rPr>
            </w:pPr>
          </w:p>
        </w:tc>
        <w:tc>
          <w:tcPr>
            <w:tcW w:w="257" w:type="pct"/>
            <w:vMerge w:val="continue"/>
            <w:vAlign w:val="center"/>
          </w:tcPr>
          <w:p w14:paraId="41AABDFA">
            <w:pPr>
              <w:widowControl/>
              <w:jc w:val="left"/>
              <w:rPr>
                <w:rFonts w:hint="eastAsia" w:ascii="宋体" w:hAnsi="宋体" w:cs="宋体"/>
                <w:color w:val="000000"/>
                <w:kern w:val="0"/>
                <w:sz w:val="22"/>
                <w:szCs w:val="22"/>
              </w:rPr>
            </w:pPr>
          </w:p>
        </w:tc>
        <w:tc>
          <w:tcPr>
            <w:tcW w:w="385" w:type="pct"/>
            <w:vMerge w:val="continue"/>
            <w:vAlign w:val="center"/>
          </w:tcPr>
          <w:p w14:paraId="6ADC101F">
            <w:pPr>
              <w:widowControl/>
              <w:jc w:val="left"/>
              <w:rPr>
                <w:rFonts w:hint="eastAsia" w:ascii="宋体" w:hAnsi="宋体" w:cs="宋体"/>
                <w:color w:val="000000"/>
                <w:kern w:val="0"/>
                <w:sz w:val="22"/>
                <w:szCs w:val="22"/>
              </w:rPr>
            </w:pPr>
          </w:p>
        </w:tc>
      </w:tr>
      <w:tr w14:paraId="65A1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jc w:val="center"/>
        </w:trPr>
        <w:tc>
          <w:tcPr>
            <w:tcW w:w="388" w:type="pct"/>
            <w:vMerge w:val="restart"/>
            <w:vAlign w:val="center"/>
          </w:tcPr>
          <w:p w14:paraId="529AFF1B">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客户满意度（10分）</w:t>
            </w:r>
          </w:p>
        </w:tc>
        <w:tc>
          <w:tcPr>
            <w:tcW w:w="452" w:type="pct"/>
            <w:vMerge w:val="restart"/>
            <w:vAlign w:val="center"/>
          </w:tcPr>
          <w:p w14:paraId="1940F86F">
            <w:pPr>
              <w:widowControl/>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综合服务评价（10分）</w:t>
            </w:r>
          </w:p>
        </w:tc>
        <w:tc>
          <w:tcPr>
            <w:tcW w:w="657" w:type="pct"/>
            <w:vAlign w:val="center"/>
          </w:tcPr>
          <w:p w14:paraId="496B8B2D">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事件与问题解决满意度（2分）</w:t>
            </w:r>
          </w:p>
        </w:tc>
        <w:tc>
          <w:tcPr>
            <w:tcW w:w="2602" w:type="pct"/>
            <w:vAlign w:val="center"/>
          </w:tcPr>
          <w:p w14:paraId="388AE8E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事件与问题解决满意度</w:t>
            </w:r>
          </w:p>
        </w:tc>
        <w:tc>
          <w:tcPr>
            <w:tcW w:w="257" w:type="pct"/>
            <w:vAlign w:val="center"/>
          </w:tcPr>
          <w:p w14:paraId="100CE4F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w:t>
            </w:r>
          </w:p>
        </w:tc>
        <w:tc>
          <w:tcPr>
            <w:tcW w:w="257" w:type="pct"/>
            <w:vAlign w:val="center"/>
          </w:tcPr>
          <w:p w14:paraId="0ACFB5E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restart"/>
            <w:vAlign w:val="center"/>
          </w:tcPr>
          <w:p w14:paraId="09846C3E">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客户满意度得分依据实际情况由客户进行考评</w:t>
            </w:r>
          </w:p>
        </w:tc>
      </w:tr>
      <w:tr w14:paraId="66BB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388" w:type="pct"/>
            <w:vMerge w:val="continue"/>
            <w:vAlign w:val="center"/>
          </w:tcPr>
          <w:p w14:paraId="035C4C44">
            <w:pPr>
              <w:widowControl/>
              <w:jc w:val="left"/>
              <w:rPr>
                <w:rFonts w:hint="eastAsia" w:ascii="宋体" w:hAnsi="宋体" w:cs="宋体"/>
                <w:b/>
                <w:bCs/>
                <w:color w:val="000000"/>
                <w:kern w:val="0"/>
                <w:sz w:val="22"/>
                <w:szCs w:val="22"/>
              </w:rPr>
            </w:pPr>
          </w:p>
        </w:tc>
        <w:tc>
          <w:tcPr>
            <w:tcW w:w="452" w:type="pct"/>
            <w:vMerge w:val="continue"/>
            <w:vAlign w:val="center"/>
          </w:tcPr>
          <w:p w14:paraId="1B8091DE">
            <w:pPr>
              <w:widowControl/>
              <w:jc w:val="left"/>
              <w:rPr>
                <w:rFonts w:hint="eastAsia" w:ascii="宋体" w:hAnsi="宋体" w:cs="宋体"/>
                <w:b/>
                <w:bCs/>
                <w:color w:val="000000"/>
                <w:kern w:val="0"/>
                <w:sz w:val="22"/>
                <w:szCs w:val="22"/>
              </w:rPr>
            </w:pPr>
          </w:p>
        </w:tc>
        <w:tc>
          <w:tcPr>
            <w:tcW w:w="657" w:type="pct"/>
            <w:vAlign w:val="center"/>
          </w:tcPr>
          <w:p w14:paraId="463DA026">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工程师技术能力满意度（2分）</w:t>
            </w:r>
          </w:p>
        </w:tc>
        <w:tc>
          <w:tcPr>
            <w:tcW w:w="2602" w:type="pct"/>
            <w:vAlign w:val="center"/>
          </w:tcPr>
          <w:p w14:paraId="739AD7B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工程师技术娴熟能力评估</w:t>
            </w:r>
          </w:p>
        </w:tc>
        <w:tc>
          <w:tcPr>
            <w:tcW w:w="257" w:type="pct"/>
            <w:vAlign w:val="center"/>
          </w:tcPr>
          <w:p w14:paraId="043CA81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w:t>
            </w:r>
          </w:p>
        </w:tc>
        <w:tc>
          <w:tcPr>
            <w:tcW w:w="257" w:type="pct"/>
            <w:vAlign w:val="center"/>
          </w:tcPr>
          <w:p w14:paraId="71B772F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continue"/>
            <w:vAlign w:val="center"/>
          </w:tcPr>
          <w:p w14:paraId="3F5EB9EC">
            <w:pPr>
              <w:widowControl/>
              <w:jc w:val="left"/>
              <w:rPr>
                <w:rFonts w:hint="eastAsia" w:ascii="宋体" w:hAnsi="宋体" w:cs="宋体"/>
                <w:color w:val="000000"/>
                <w:kern w:val="0"/>
                <w:sz w:val="22"/>
                <w:szCs w:val="22"/>
              </w:rPr>
            </w:pPr>
          </w:p>
        </w:tc>
      </w:tr>
      <w:tr w14:paraId="714F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jc w:val="center"/>
        </w:trPr>
        <w:tc>
          <w:tcPr>
            <w:tcW w:w="388" w:type="pct"/>
            <w:vMerge w:val="continue"/>
            <w:vAlign w:val="center"/>
          </w:tcPr>
          <w:p w14:paraId="02C59D2C">
            <w:pPr>
              <w:widowControl/>
              <w:jc w:val="left"/>
              <w:rPr>
                <w:rFonts w:hint="eastAsia" w:ascii="宋体" w:hAnsi="宋体" w:cs="宋体"/>
                <w:b/>
                <w:bCs/>
                <w:color w:val="000000"/>
                <w:kern w:val="0"/>
                <w:sz w:val="22"/>
                <w:szCs w:val="22"/>
              </w:rPr>
            </w:pPr>
          </w:p>
        </w:tc>
        <w:tc>
          <w:tcPr>
            <w:tcW w:w="452" w:type="pct"/>
            <w:vMerge w:val="continue"/>
            <w:vAlign w:val="center"/>
          </w:tcPr>
          <w:p w14:paraId="4A7367B8">
            <w:pPr>
              <w:widowControl/>
              <w:jc w:val="left"/>
              <w:rPr>
                <w:rFonts w:hint="eastAsia" w:ascii="宋体" w:hAnsi="宋体" w:cs="宋体"/>
                <w:b/>
                <w:bCs/>
                <w:color w:val="000000"/>
                <w:kern w:val="0"/>
                <w:sz w:val="22"/>
                <w:szCs w:val="22"/>
              </w:rPr>
            </w:pPr>
          </w:p>
        </w:tc>
        <w:tc>
          <w:tcPr>
            <w:tcW w:w="657" w:type="pct"/>
            <w:vAlign w:val="center"/>
          </w:tcPr>
          <w:p w14:paraId="5C5BF73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工程师服务态度（2分）</w:t>
            </w:r>
          </w:p>
        </w:tc>
        <w:tc>
          <w:tcPr>
            <w:tcW w:w="2602" w:type="pct"/>
            <w:vAlign w:val="center"/>
          </w:tcPr>
          <w:p w14:paraId="062214FA">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协作性、责任心、积极性等</w:t>
            </w:r>
          </w:p>
        </w:tc>
        <w:tc>
          <w:tcPr>
            <w:tcW w:w="257" w:type="pct"/>
            <w:vAlign w:val="center"/>
          </w:tcPr>
          <w:p w14:paraId="32B16B23">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w:t>
            </w:r>
          </w:p>
        </w:tc>
        <w:tc>
          <w:tcPr>
            <w:tcW w:w="257" w:type="pct"/>
            <w:vAlign w:val="center"/>
          </w:tcPr>
          <w:p w14:paraId="1B28A84C">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continue"/>
            <w:vAlign w:val="center"/>
          </w:tcPr>
          <w:p w14:paraId="57636657">
            <w:pPr>
              <w:widowControl/>
              <w:jc w:val="left"/>
              <w:rPr>
                <w:rFonts w:hint="eastAsia" w:ascii="宋体" w:hAnsi="宋体" w:cs="宋体"/>
                <w:color w:val="000000"/>
                <w:kern w:val="0"/>
                <w:sz w:val="22"/>
                <w:szCs w:val="22"/>
              </w:rPr>
            </w:pPr>
          </w:p>
        </w:tc>
      </w:tr>
      <w:tr w14:paraId="18FF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jc w:val="center"/>
        </w:trPr>
        <w:tc>
          <w:tcPr>
            <w:tcW w:w="388" w:type="pct"/>
            <w:vMerge w:val="continue"/>
            <w:vAlign w:val="center"/>
          </w:tcPr>
          <w:p w14:paraId="57B8E6D9">
            <w:pPr>
              <w:widowControl/>
              <w:jc w:val="left"/>
              <w:rPr>
                <w:rFonts w:hint="eastAsia" w:ascii="宋体" w:hAnsi="宋体" w:cs="宋体"/>
                <w:b/>
                <w:bCs/>
                <w:color w:val="000000"/>
                <w:kern w:val="0"/>
                <w:sz w:val="22"/>
                <w:szCs w:val="22"/>
              </w:rPr>
            </w:pPr>
          </w:p>
        </w:tc>
        <w:tc>
          <w:tcPr>
            <w:tcW w:w="452" w:type="pct"/>
            <w:vMerge w:val="continue"/>
            <w:vAlign w:val="center"/>
          </w:tcPr>
          <w:p w14:paraId="4700204F">
            <w:pPr>
              <w:widowControl/>
              <w:jc w:val="left"/>
              <w:rPr>
                <w:rFonts w:hint="eastAsia" w:ascii="宋体" w:hAnsi="宋体" w:cs="宋体"/>
                <w:b/>
                <w:bCs/>
                <w:color w:val="000000"/>
                <w:kern w:val="0"/>
                <w:sz w:val="22"/>
                <w:szCs w:val="22"/>
              </w:rPr>
            </w:pPr>
          </w:p>
        </w:tc>
        <w:tc>
          <w:tcPr>
            <w:tcW w:w="657" w:type="pct"/>
            <w:vAlign w:val="center"/>
          </w:tcPr>
          <w:p w14:paraId="56715D66">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工程师解决事件后向用户陈述说明（2分）</w:t>
            </w:r>
          </w:p>
        </w:tc>
        <w:tc>
          <w:tcPr>
            <w:tcW w:w="2602" w:type="pct"/>
            <w:vAlign w:val="center"/>
          </w:tcPr>
          <w:p w14:paraId="04758134">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书面/口头陈述</w:t>
            </w:r>
          </w:p>
        </w:tc>
        <w:tc>
          <w:tcPr>
            <w:tcW w:w="257" w:type="pct"/>
            <w:vAlign w:val="center"/>
          </w:tcPr>
          <w:p w14:paraId="18E1825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w:t>
            </w:r>
          </w:p>
        </w:tc>
        <w:tc>
          <w:tcPr>
            <w:tcW w:w="257" w:type="pct"/>
            <w:vAlign w:val="center"/>
          </w:tcPr>
          <w:p w14:paraId="522467D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continue"/>
            <w:vAlign w:val="center"/>
          </w:tcPr>
          <w:p w14:paraId="55E4CAB5">
            <w:pPr>
              <w:widowControl/>
              <w:jc w:val="left"/>
              <w:rPr>
                <w:rFonts w:hint="eastAsia" w:ascii="宋体" w:hAnsi="宋体" w:cs="宋体"/>
                <w:color w:val="000000"/>
                <w:kern w:val="0"/>
                <w:sz w:val="22"/>
                <w:szCs w:val="22"/>
              </w:rPr>
            </w:pPr>
          </w:p>
        </w:tc>
      </w:tr>
      <w:tr w14:paraId="3D3B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388" w:type="pct"/>
            <w:vMerge w:val="continue"/>
            <w:vAlign w:val="center"/>
          </w:tcPr>
          <w:p w14:paraId="3E6399EB">
            <w:pPr>
              <w:widowControl/>
              <w:jc w:val="left"/>
              <w:rPr>
                <w:rFonts w:hint="eastAsia" w:ascii="宋体" w:hAnsi="宋体" w:cs="宋体"/>
                <w:b/>
                <w:bCs/>
                <w:color w:val="000000"/>
                <w:kern w:val="0"/>
                <w:sz w:val="22"/>
                <w:szCs w:val="22"/>
              </w:rPr>
            </w:pPr>
          </w:p>
        </w:tc>
        <w:tc>
          <w:tcPr>
            <w:tcW w:w="452" w:type="pct"/>
            <w:vMerge w:val="continue"/>
            <w:vAlign w:val="center"/>
          </w:tcPr>
          <w:p w14:paraId="425BA5A4">
            <w:pPr>
              <w:widowControl/>
              <w:jc w:val="left"/>
              <w:rPr>
                <w:rFonts w:hint="eastAsia" w:ascii="宋体" w:hAnsi="宋体" w:cs="宋体"/>
                <w:b/>
                <w:bCs/>
                <w:color w:val="000000"/>
                <w:kern w:val="0"/>
                <w:sz w:val="22"/>
                <w:szCs w:val="22"/>
              </w:rPr>
            </w:pPr>
          </w:p>
        </w:tc>
        <w:tc>
          <w:tcPr>
            <w:tcW w:w="657" w:type="pct"/>
            <w:vAlign w:val="center"/>
          </w:tcPr>
          <w:p w14:paraId="608CB3AA">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客户使用体验（2分）</w:t>
            </w:r>
          </w:p>
        </w:tc>
        <w:tc>
          <w:tcPr>
            <w:tcW w:w="2602" w:type="pct"/>
            <w:vAlign w:val="center"/>
          </w:tcPr>
          <w:p w14:paraId="394AC64F">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对服务的易用性、响应速度和问题跟踪闭环的满意度</w:t>
            </w:r>
          </w:p>
        </w:tc>
        <w:tc>
          <w:tcPr>
            <w:tcW w:w="257" w:type="pct"/>
            <w:vAlign w:val="center"/>
          </w:tcPr>
          <w:p w14:paraId="072390F2">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w:t>
            </w:r>
          </w:p>
        </w:tc>
        <w:tc>
          <w:tcPr>
            <w:tcW w:w="257" w:type="pct"/>
            <w:vAlign w:val="center"/>
          </w:tcPr>
          <w:p w14:paraId="2248E49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Merge w:val="continue"/>
            <w:vAlign w:val="center"/>
          </w:tcPr>
          <w:p w14:paraId="3930C605">
            <w:pPr>
              <w:widowControl/>
              <w:jc w:val="left"/>
              <w:rPr>
                <w:rFonts w:hint="eastAsia" w:ascii="宋体" w:hAnsi="宋体" w:cs="宋体"/>
                <w:color w:val="000000"/>
                <w:kern w:val="0"/>
                <w:sz w:val="22"/>
                <w:szCs w:val="22"/>
              </w:rPr>
            </w:pPr>
          </w:p>
        </w:tc>
      </w:tr>
      <w:tr w14:paraId="74B1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388" w:type="pct"/>
            <w:vAlign w:val="center"/>
          </w:tcPr>
          <w:p w14:paraId="1C858B69">
            <w:pPr>
              <w:widowControl/>
              <w:jc w:val="left"/>
              <w:rPr>
                <w:rFonts w:hint="eastAsia" w:ascii="宋体" w:hAnsi="宋体" w:cs="宋体"/>
                <w:b/>
                <w:bCs/>
                <w:color w:val="000000"/>
                <w:kern w:val="0"/>
                <w:sz w:val="22"/>
                <w:szCs w:val="22"/>
              </w:rPr>
            </w:pPr>
            <w:r>
              <w:rPr>
                <w:rFonts w:hint="eastAsia" w:ascii="宋体" w:hAnsi="宋体" w:cs="宋体"/>
                <w:b/>
                <w:bCs/>
                <w:color w:val="000000"/>
                <w:kern w:val="0"/>
                <w:sz w:val="22"/>
                <w:szCs w:val="22"/>
              </w:rPr>
              <w:t>加分指标</w:t>
            </w:r>
          </w:p>
        </w:tc>
        <w:tc>
          <w:tcPr>
            <w:tcW w:w="452" w:type="pct"/>
            <w:vAlign w:val="center"/>
          </w:tcPr>
          <w:p w14:paraId="333584A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书面嘉奖</w:t>
            </w:r>
          </w:p>
        </w:tc>
        <w:tc>
          <w:tcPr>
            <w:tcW w:w="657" w:type="pct"/>
            <w:vAlign w:val="center"/>
          </w:tcPr>
          <w:p w14:paraId="215798F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获得业主单位书面表扬或嘉奖</w:t>
            </w:r>
          </w:p>
        </w:tc>
        <w:tc>
          <w:tcPr>
            <w:tcW w:w="2602" w:type="pct"/>
            <w:vAlign w:val="center"/>
          </w:tcPr>
          <w:p w14:paraId="4161ACE9">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57" w:type="pct"/>
            <w:vAlign w:val="center"/>
          </w:tcPr>
          <w:p w14:paraId="1152DDF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57" w:type="pct"/>
            <w:vAlign w:val="center"/>
          </w:tcPr>
          <w:p w14:paraId="3C6C177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09BAE1A3">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0AC5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388" w:type="pct"/>
            <w:vAlign w:val="center"/>
          </w:tcPr>
          <w:p w14:paraId="1FC06E35">
            <w:pPr>
              <w:widowControl/>
              <w:jc w:val="left"/>
              <w:rPr>
                <w:rFonts w:hint="eastAsia" w:ascii="宋体" w:hAnsi="宋体" w:cs="宋体"/>
                <w:b/>
                <w:bCs/>
                <w:color w:val="000000"/>
                <w:kern w:val="0"/>
                <w:sz w:val="22"/>
                <w:szCs w:val="22"/>
              </w:rPr>
            </w:pPr>
            <w:r>
              <w:rPr>
                <w:rFonts w:hint="eastAsia" w:ascii="宋体" w:hAnsi="宋体" w:cs="宋体"/>
                <w:b/>
                <w:bCs/>
                <w:color w:val="000000"/>
                <w:kern w:val="0"/>
                <w:sz w:val="22"/>
                <w:szCs w:val="22"/>
              </w:rPr>
              <w:t>扣分指标</w:t>
            </w:r>
          </w:p>
        </w:tc>
        <w:tc>
          <w:tcPr>
            <w:tcW w:w="452" w:type="pct"/>
            <w:vAlign w:val="center"/>
          </w:tcPr>
          <w:p w14:paraId="65BD5B3F">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有效投诉</w:t>
            </w:r>
          </w:p>
        </w:tc>
        <w:tc>
          <w:tcPr>
            <w:tcW w:w="657" w:type="pct"/>
            <w:vAlign w:val="center"/>
          </w:tcPr>
          <w:p w14:paraId="1007E091">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一次有效投诉扣5分</w:t>
            </w:r>
          </w:p>
        </w:tc>
        <w:tc>
          <w:tcPr>
            <w:tcW w:w="2602" w:type="pct"/>
            <w:vAlign w:val="center"/>
          </w:tcPr>
          <w:p w14:paraId="1231467E">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57" w:type="pct"/>
            <w:vAlign w:val="center"/>
          </w:tcPr>
          <w:p w14:paraId="3527780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57" w:type="pct"/>
            <w:vAlign w:val="center"/>
          </w:tcPr>
          <w:p w14:paraId="0277848B">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1171256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r w14:paraId="5E324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388" w:type="pct"/>
            <w:vAlign w:val="center"/>
          </w:tcPr>
          <w:p w14:paraId="1D75EEAF">
            <w:pPr>
              <w:widowControl/>
              <w:jc w:val="left"/>
              <w:rPr>
                <w:rFonts w:hint="eastAsia" w:ascii="宋体" w:hAnsi="宋体" w:cs="宋体"/>
                <w:b/>
                <w:bCs/>
                <w:color w:val="000000"/>
                <w:kern w:val="0"/>
                <w:sz w:val="22"/>
                <w:szCs w:val="22"/>
              </w:rPr>
            </w:pPr>
            <w:r>
              <w:rPr>
                <w:rFonts w:hint="eastAsia" w:ascii="宋体" w:hAnsi="宋体" w:cs="宋体"/>
                <w:b/>
                <w:bCs/>
                <w:color w:val="000000"/>
                <w:kern w:val="0"/>
                <w:sz w:val="22"/>
                <w:szCs w:val="22"/>
              </w:rPr>
              <w:t>总得分</w:t>
            </w:r>
          </w:p>
        </w:tc>
        <w:tc>
          <w:tcPr>
            <w:tcW w:w="452" w:type="pct"/>
            <w:vAlign w:val="center"/>
          </w:tcPr>
          <w:p w14:paraId="113F6345">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657" w:type="pct"/>
            <w:vAlign w:val="center"/>
          </w:tcPr>
          <w:p w14:paraId="7A3CCB70">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602" w:type="pct"/>
            <w:vAlign w:val="center"/>
          </w:tcPr>
          <w:p w14:paraId="2DFA9F26">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57" w:type="pct"/>
            <w:vAlign w:val="center"/>
          </w:tcPr>
          <w:p w14:paraId="0CCC4A6B">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257" w:type="pct"/>
            <w:vAlign w:val="center"/>
          </w:tcPr>
          <w:p w14:paraId="6EA62F9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　</w:t>
            </w:r>
          </w:p>
        </w:tc>
        <w:tc>
          <w:tcPr>
            <w:tcW w:w="385" w:type="pct"/>
            <w:vAlign w:val="center"/>
          </w:tcPr>
          <w:p w14:paraId="76ABCD5C">
            <w:pPr>
              <w:widowControl/>
              <w:jc w:val="left"/>
              <w:rPr>
                <w:rFonts w:hint="eastAsia" w:ascii="宋体" w:hAnsi="宋体" w:cs="宋体"/>
                <w:color w:val="000000"/>
                <w:kern w:val="0"/>
                <w:sz w:val="22"/>
                <w:szCs w:val="22"/>
              </w:rPr>
            </w:pPr>
            <w:r>
              <w:rPr>
                <w:rFonts w:hint="eastAsia" w:ascii="宋体" w:hAnsi="宋体" w:cs="宋体"/>
                <w:color w:val="000000"/>
                <w:kern w:val="0"/>
                <w:sz w:val="22"/>
                <w:szCs w:val="22"/>
              </w:rPr>
              <w:t>　</w:t>
            </w:r>
          </w:p>
        </w:tc>
      </w:tr>
    </w:tbl>
    <w:p w14:paraId="2D912990">
      <w:pPr>
        <w:pStyle w:val="15"/>
        <w:spacing w:line="360" w:lineRule="auto"/>
        <w:ind w:firstLine="480" w:firstLineChars="200"/>
        <w:rPr>
          <w:rStyle w:val="16"/>
          <w:rFonts w:hint="eastAsia" w:ascii="仿宋" w:hAnsi="仿宋" w:eastAsia="仿宋" w:cs="宋体"/>
          <w:color w:val="000000"/>
          <w:sz w:val="24"/>
        </w:rPr>
      </w:pPr>
    </w:p>
    <w:p w14:paraId="7AC301C2">
      <w:pPr>
        <w:pStyle w:val="4"/>
        <w:snapToGrid w:val="0"/>
        <w:spacing w:before="156" w:after="156"/>
        <w:rPr>
          <w:rStyle w:val="16"/>
          <w:rFonts w:hint="eastAsia" w:ascii="仿宋" w:hAnsi="仿宋" w:eastAsia="仿宋" w:cs="宋体"/>
          <w:color w:val="000000"/>
          <w:szCs w:val="24"/>
        </w:rPr>
      </w:pPr>
      <w:r>
        <w:rPr>
          <w:rStyle w:val="16"/>
          <w:rFonts w:hint="eastAsia" w:ascii="仿宋" w:hAnsi="仿宋" w:eastAsia="仿宋" w:cs="宋体"/>
          <w:color w:val="000000"/>
          <w:szCs w:val="24"/>
        </w:rPr>
        <w:t>付款方式（如采购文件其他位置出现与此支付方式不一致的情况，以此描述为准）</w:t>
      </w:r>
    </w:p>
    <w:p w14:paraId="2F84CA48">
      <w:pPr>
        <w:pStyle w:val="15"/>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绩效考核款：按项目进度支付，占合同额的20%，按实际考核结果计算；</w:t>
      </w:r>
    </w:p>
    <w:p w14:paraId="537F834B">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color w:val="000000"/>
          <w:sz w:val="24"/>
        </w:rPr>
        <w:t>1期：支付比例约</w:t>
      </w:r>
      <w:r>
        <w:rPr>
          <w:rStyle w:val="16"/>
          <w:rFonts w:ascii="仿宋" w:hAnsi="仿宋" w:eastAsia="仿宋" w:cs="宋体"/>
          <w:color w:val="000000"/>
          <w:sz w:val="24"/>
        </w:rPr>
        <w:t>3</w:t>
      </w:r>
      <w:r>
        <w:rPr>
          <w:rStyle w:val="16"/>
          <w:rFonts w:hint="eastAsia" w:ascii="仿宋" w:hAnsi="仿宋" w:eastAsia="仿宋" w:cs="宋体"/>
          <w:color w:val="000000"/>
          <w:sz w:val="24"/>
        </w:rPr>
        <w:t>0%,合同生效并收到中标方开具的发票后支付项目进度款，</w:t>
      </w:r>
      <w:r>
        <w:rPr>
          <w:rStyle w:val="16"/>
          <w:rFonts w:hint="eastAsia" w:ascii="仿宋" w:hAnsi="仿宋" w:eastAsia="仿宋" w:cs="宋体"/>
          <w:sz w:val="24"/>
        </w:rPr>
        <w:t>收到发票后5个工作日办理支付手续；</w:t>
      </w:r>
    </w:p>
    <w:p w14:paraId="7BDF46CD">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2期：支付比例约30%,第二期款项：项目运维服务期满六个月，并经采购人按季度绩效考核，通过考核并收到中标人开具的发票后，根据绩效考核成绩，支付项目进度款和实际绩效考核金额，收到发票后5个工作日办理支付手续；</w:t>
      </w:r>
    </w:p>
    <w:p w14:paraId="15B4C9CB">
      <w:pPr>
        <w:pStyle w:val="15"/>
        <w:spacing w:line="360" w:lineRule="auto"/>
        <w:ind w:firstLine="480" w:firstLineChars="200"/>
        <w:rPr>
          <w:rStyle w:val="16"/>
          <w:rFonts w:hint="eastAsia" w:ascii="仿宋" w:hAnsi="仿宋" w:eastAsia="仿宋" w:cs="宋体"/>
          <w:sz w:val="24"/>
        </w:rPr>
      </w:pPr>
      <w:r>
        <w:rPr>
          <w:rStyle w:val="16"/>
          <w:rFonts w:ascii="仿宋" w:hAnsi="仿宋" w:eastAsia="仿宋" w:cs="宋体"/>
          <w:sz w:val="24"/>
        </w:rPr>
        <w:t>3</w:t>
      </w:r>
      <w:r>
        <w:rPr>
          <w:rStyle w:val="16"/>
          <w:rFonts w:hint="eastAsia" w:ascii="仿宋" w:hAnsi="仿宋" w:eastAsia="仿宋" w:cs="宋体"/>
          <w:sz w:val="24"/>
        </w:rPr>
        <w:t>期：支付比例约</w:t>
      </w:r>
      <w:r>
        <w:rPr>
          <w:rStyle w:val="16"/>
          <w:rFonts w:ascii="仿宋" w:hAnsi="仿宋" w:eastAsia="仿宋" w:cs="宋体"/>
          <w:sz w:val="24"/>
        </w:rPr>
        <w:t>2</w:t>
      </w:r>
      <w:r>
        <w:rPr>
          <w:rStyle w:val="16"/>
          <w:rFonts w:hint="eastAsia" w:ascii="仿宋" w:hAnsi="仿宋" w:eastAsia="仿宋" w:cs="宋体"/>
          <w:sz w:val="24"/>
        </w:rPr>
        <w:t>0%,第三期款项：项目运维服务期满九个月，并经采购人按季度绩效考核，通过考核并收到中标人开具的发票后，根据绩效考核成绩，支付项目进度款和实际绩效考核金额，收到发票后5个工作日办理支付手续；</w:t>
      </w:r>
    </w:p>
    <w:p w14:paraId="56ED3ED8">
      <w:pPr>
        <w:pStyle w:val="15"/>
        <w:spacing w:line="360" w:lineRule="auto"/>
        <w:ind w:firstLine="480" w:firstLineChars="200"/>
        <w:rPr>
          <w:rStyle w:val="16"/>
          <w:rFonts w:hint="eastAsia" w:ascii="仿宋" w:hAnsi="仿宋" w:eastAsia="仿宋" w:cs="宋体"/>
          <w:sz w:val="24"/>
        </w:rPr>
      </w:pPr>
      <w:r>
        <w:rPr>
          <w:rStyle w:val="16"/>
          <w:rFonts w:ascii="仿宋" w:hAnsi="仿宋" w:eastAsia="仿宋" w:cs="宋体"/>
          <w:sz w:val="24"/>
        </w:rPr>
        <w:t>4</w:t>
      </w:r>
      <w:r>
        <w:rPr>
          <w:rStyle w:val="16"/>
          <w:rFonts w:hint="eastAsia" w:ascii="仿宋" w:hAnsi="仿宋" w:eastAsia="仿宋" w:cs="宋体"/>
          <w:sz w:val="24"/>
        </w:rPr>
        <w:t>期：支付比例</w:t>
      </w:r>
      <w:r>
        <w:rPr>
          <w:rStyle w:val="16"/>
          <w:rFonts w:ascii="仿宋" w:hAnsi="仿宋" w:eastAsia="仿宋" w:cs="宋体"/>
          <w:sz w:val="24"/>
        </w:rPr>
        <w:t>2</w:t>
      </w:r>
      <w:r>
        <w:rPr>
          <w:rStyle w:val="16"/>
          <w:rFonts w:hint="eastAsia" w:ascii="仿宋" w:hAnsi="仿宋" w:eastAsia="仿宋" w:cs="宋体"/>
          <w:sz w:val="24"/>
        </w:rPr>
        <w:t>0%,第四期款项：运行维护期届满并通过采购人组织考核及合同验收后，在中标人开具发票后，根据绩效成绩，支付项目进度款和实际绩效考核金额，收到发票后5个工作日办理支付手续。</w:t>
      </w:r>
    </w:p>
    <w:p w14:paraId="43BC9BD4">
      <w:pPr>
        <w:pStyle w:val="4"/>
        <w:snapToGrid w:val="0"/>
        <w:spacing w:before="156" w:after="156"/>
        <w:rPr>
          <w:rStyle w:val="16"/>
          <w:rFonts w:hint="eastAsia" w:ascii="仿宋" w:hAnsi="仿宋" w:eastAsia="仿宋" w:cs="宋体"/>
          <w:color w:val="000000"/>
          <w:szCs w:val="24"/>
        </w:rPr>
      </w:pPr>
      <w:r>
        <w:rPr>
          <w:rStyle w:val="16"/>
          <w:rFonts w:hint="eastAsia" w:ascii="仿宋" w:hAnsi="仿宋" w:eastAsia="仿宋" w:cs="宋体"/>
          <w:color w:val="000000"/>
          <w:szCs w:val="24"/>
        </w:rPr>
        <w:t>验收</w:t>
      </w:r>
    </w:p>
    <w:p w14:paraId="43E00E14">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本项目验收分为初步验收和合同验收。</w:t>
      </w:r>
    </w:p>
    <w:p w14:paraId="04AF694C">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1.阶段验收</w:t>
      </w:r>
    </w:p>
    <w:p w14:paraId="5F0D745E">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初步验收需符合广州市政务信息化项目相关验收管理办法的要求，中标人履约，且服务期满9个月（2027年3月），中标人向采购人递交初步验收申请材料，采购人在收到中标人初步验收申请后 7 日内组织履约初步验收。</w:t>
      </w:r>
    </w:p>
    <w:p w14:paraId="6AAD976E">
      <w:pPr>
        <w:pStyle w:val="15"/>
        <w:spacing w:line="360" w:lineRule="auto"/>
        <w:ind w:firstLine="480" w:firstLineChars="200"/>
        <w:rPr>
          <w:rStyle w:val="16"/>
          <w:rFonts w:hint="eastAsia" w:ascii="仿宋" w:hAnsi="仿宋" w:eastAsia="仿宋" w:cs="宋体"/>
          <w:sz w:val="24"/>
        </w:rPr>
      </w:pPr>
      <w:r>
        <w:rPr>
          <w:rStyle w:val="16"/>
          <w:rFonts w:hint="eastAsia" w:ascii="仿宋" w:hAnsi="仿宋" w:eastAsia="仿宋" w:cs="宋体"/>
          <w:sz w:val="24"/>
        </w:rPr>
        <w:t>2.合同验收</w:t>
      </w:r>
    </w:p>
    <w:p w14:paraId="0B57D9AA">
      <w:pPr>
        <w:spacing w:line="360" w:lineRule="auto"/>
        <w:ind w:firstLine="480" w:firstLineChars="200"/>
        <w:rPr>
          <w:rStyle w:val="16"/>
          <w:rFonts w:hint="eastAsia" w:ascii="仿宋" w:hAnsi="仿宋" w:eastAsia="仿宋" w:cs="宋体"/>
          <w:color w:val="000000"/>
          <w:sz w:val="24"/>
        </w:rPr>
      </w:pPr>
      <w:r>
        <w:rPr>
          <w:rStyle w:val="16"/>
          <w:rFonts w:hint="eastAsia" w:ascii="仿宋" w:hAnsi="仿宋" w:eastAsia="仿宋" w:cs="宋体"/>
          <w:color w:val="000000"/>
          <w:sz w:val="24"/>
        </w:rPr>
        <w:t>合同验收需符合广州市政务信息化项目相关验收管理办法的要求，中标人履约，且服务期满12个月（2027年6月20日），中标人向采购人递交合同验收材料，采购人在收到中标人合同验收申请后10个工作日内和监理单位组织合同验收，验收采用《广州市人民政府办公厅信息化运维项目验收标准》（中标后提供）进行，同时需符合下列要求：</w:t>
      </w:r>
      <w:r>
        <w:rPr>
          <w:rStyle w:val="16"/>
          <w:rFonts w:hint="eastAsia" w:ascii="仿宋" w:hAnsi="仿宋" w:eastAsia="仿宋" w:cs="宋体"/>
          <w:color w:val="000000"/>
          <w:sz w:val="24"/>
        </w:rPr>
        <w:br w:type="textWrapping"/>
      </w:r>
      <w:r>
        <w:rPr>
          <w:rStyle w:val="16"/>
          <w:rFonts w:hint="eastAsia" w:ascii="仿宋" w:hAnsi="仿宋" w:eastAsia="仿宋" w:cs="宋体"/>
          <w:color w:val="000000"/>
          <w:sz w:val="24"/>
        </w:rPr>
        <w:t xml:space="preserve">  （1）满足合同和招标文件中列举的全部要求。</w:t>
      </w:r>
      <w:r>
        <w:rPr>
          <w:rStyle w:val="16"/>
          <w:rFonts w:hint="eastAsia" w:ascii="仿宋" w:hAnsi="仿宋" w:eastAsia="仿宋" w:cs="宋体"/>
          <w:color w:val="000000"/>
          <w:sz w:val="24"/>
        </w:rPr>
        <w:br w:type="textWrapping"/>
      </w:r>
      <w:r>
        <w:rPr>
          <w:rStyle w:val="16"/>
          <w:rFonts w:hint="eastAsia" w:ascii="仿宋" w:hAnsi="仿宋" w:eastAsia="仿宋" w:cs="宋体"/>
          <w:color w:val="000000"/>
          <w:sz w:val="24"/>
        </w:rPr>
        <w:t xml:space="preserve">  （2）实现合同和招标文件中列举的全部功能和非功能要求。</w:t>
      </w:r>
      <w:r>
        <w:rPr>
          <w:rStyle w:val="16"/>
          <w:rFonts w:hint="eastAsia" w:ascii="仿宋" w:hAnsi="仿宋" w:eastAsia="仿宋" w:cs="宋体"/>
          <w:color w:val="000000"/>
          <w:sz w:val="24"/>
        </w:rPr>
        <w:br w:type="textWrapping"/>
      </w:r>
      <w:r>
        <w:rPr>
          <w:rStyle w:val="16"/>
          <w:rFonts w:hint="eastAsia" w:ascii="仿宋" w:hAnsi="仿宋" w:eastAsia="仿宋" w:cs="宋体"/>
          <w:color w:val="000000"/>
          <w:sz w:val="24"/>
        </w:rPr>
        <w:t xml:space="preserve">  （3）达到合同和招标文件中列举的全部指标，质量达标。</w:t>
      </w:r>
      <w:r>
        <w:rPr>
          <w:rStyle w:val="16"/>
          <w:rFonts w:hint="eastAsia" w:ascii="仿宋" w:hAnsi="仿宋" w:eastAsia="仿宋" w:cs="宋体"/>
          <w:color w:val="000000"/>
          <w:sz w:val="24"/>
        </w:rPr>
        <w:br w:type="textWrapping"/>
      </w:r>
      <w:r>
        <w:rPr>
          <w:rStyle w:val="16"/>
          <w:rFonts w:hint="eastAsia" w:ascii="仿宋" w:hAnsi="仿宋" w:eastAsia="仿宋" w:cs="宋体"/>
          <w:color w:val="000000"/>
          <w:sz w:val="24"/>
        </w:rPr>
        <w:t xml:space="preserve">  （4）文档齐全，按照文档交付要求，中标人负责将项目的全部各种相关管理文档，按照采购人项目管理要求汇集分类成册交付项目单位。</w:t>
      </w:r>
    </w:p>
    <w:p w14:paraId="6528A3D0">
      <w:r>
        <w:rPr>
          <w:rStyle w:val="16"/>
          <w:rFonts w:hint="eastAsia" w:ascii="仿宋" w:hAnsi="仿宋" w:eastAsia="仿宋" w:cs="宋体"/>
          <w:color w:val="000000"/>
          <w:sz w:val="24"/>
        </w:rPr>
        <w:t>验收合格的，采购人向中标人出具《验收合格证明》；验收不合格的，中标人应于【10】日内进行整改，并在约定的时间内再次向采购人和监理单位提出合同验收。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Noto Sans">
    <w:altName w:val="Noto Sans SC"/>
    <w:panose1 w:val="00000000000000000000"/>
    <w:charset w:val="00"/>
    <w:family w:val="swiss"/>
    <w:pitch w:val="default"/>
    <w:sig w:usb0="00000000" w:usb1="00000000" w:usb2="00000021" w:usb3="00000000" w:csb0="0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55CBE"/>
    <w:multiLevelType w:val="multilevel"/>
    <w:tmpl w:val="80355CBE"/>
    <w:lvl w:ilvl="0" w:tentative="0">
      <w:start w:val="1"/>
      <w:numFmt w:val="decimal"/>
      <w:lvlText w:val="%1."/>
      <w:lvlJc w:val="left"/>
      <w:pPr>
        <w:ind w:left="432" w:hanging="432"/>
      </w:pPr>
      <w:rPr>
        <w:rFonts w:hint="default"/>
      </w:rPr>
    </w:lvl>
    <w:lvl w:ilvl="1" w:tentative="0">
      <w:start w:val="1"/>
      <w:numFmt w:val="decimal"/>
      <w:pStyle w:val="2"/>
      <w:lvlText w:val="%1.%2."/>
      <w:lvlJc w:val="left"/>
      <w:pPr>
        <w:ind w:left="575" w:hanging="575"/>
      </w:pPr>
      <w:rPr>
        <w:rFonts w:hint="default"/>
      </w:rPr>
    </w:lvl>
    <w:lvl w:ilvl="2" w:tentative="0">
      <w:start w:val="1"/>
      <w:numFmt w:val="decimal"/>
      <w:pStyle w:val="3"/>
      <w:lvlText w:val="%1.%2.%3."/>
      <w:lvlJc w:val="left"/>
      <w:pPr>
        <w:ind w:left="720" w:hanging="720"/>
      </w:pPr>
      <w:rPr>
        <w:rFonts w:hint="default"/>
      </w:rPr>
    </w:lvl>
    <w:lvl w:ilvl="3" w:tentative="0">
      <w:start w:val="1"/>
      <w:numFmt w:val="decimal"/>
      <w:pStyle w:val="4"/>
      <w:lvlText w:val="%1.%2.%3.%4."/>
      <w:lvlJc w:val="left"/>
      <w:pPr>
        <w:ind w:left="864" w:hanging="864"/>
      </w:pPr>
      <w:rPr>
        <w:rFonts w:hint="default"/>
      </w:rPr>
    </w:lvl>
    <w:lvl w:ilvl="4" w:tentative="0">
      <w:start w:val="1"/>
      <w:numFmt w:val="decimal"/>
      <w:pStyle w:val="5"/>
      <w:lvlText w:val="%1.%2.%3.%4.%5."/>
      <w:lvlJc w:val="left"/>
      <w:pPr>
        <w:ind w:left="1008" w:hanging="1008"/>
      </w:pPr>
      <w:rPr>
        <w:rFonts w:hint="default"/>
      </w:rPr>
    </w:lvl>
    <w:lvl w:ilvl="5" w:tentative="0">
      <w:start w:val="1"/>
      <w:numFmt w:val="decimal"/>
      <w:pStyle w:val="6"/>
      <w:lvlText w:val="%1.%2.%3.%4.%5.%6."/>
      <w:lvlJc w:val="left"/>
      <w:pPr>
        <w:ind w:left="1151" w:hanging="1151"/>
      </w:pPr>
      <w:rPr>
        <w:rFonts w:hint="default"/>
      </w:rPr>
    </w:lvl>
    <w:lvl w:ilvl="6" w:tentative="0">
      <w:start w:val="1"/>
      <w:numFmt w:val="decimal"/>
      <w:pStyle w:val="7"/>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29223D6B"/>
    <w:multiLevelType w:val="multilevel"/>
    <w:tmpl w:val="29223D6B"/>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2E6727"/>
    <w:rsid w:val="582E6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0"/>
    <w:pPr>
      <w:keepNext/>
      <w:keepLines/>
      <w:numPr>
        <w:ilvl w:val="1"/>
        <w:numId w:val="1"/>
      </w:numPr>
      <w:spacing w:before="50" w:beforeLines="50" w:after="50" w:afterLines="50" w:line="360" w:lineRule="auto"/>
      <w:ind w:left="0" w:firstLine="0"/>
      <w:jc w:val="left"/>
      <w:outlineLvl w:val="1"/>
    </w:pPr>
    <w:rPr>
      <w:rFonts w:ascii="Calibri Light" w:hAnsi="Calibri Light"/>
      <w:b/>
      <w:bCs/>
      <w:sz w:val="24"/>
      <w:szCs w:val="32"/>
    </w:rPr>
  </w:style>
  <w:style w:type="paragraph" w:styleId="3">
    <w:name w:val="heading 3"/>
    <w:basedOn w:val="1"/>
    <w:next w:val="1"/>
    <w:unhideWhenUsed/>
    <w:qFormat/>
    <w:uiPriority w:val="9"/>
    <w:pPr>
      <w:keepNext/>
      <w:keepLines/>
      <w:numPr>
        <w:ilvl w:val="2"/>
        <w:numId w:val="1"/>
      </w:numPr>
      <w:spacing w:before="50" w:beforeLines="50" w:after="50" w:afterLines="50" w:line="360" w:lineRule="auto"/>
      <w:ind w:left="0" w:firstLine="0"/>
      <w:jc w:val="left"/>
      <w:outlineLvl w:val="2"/>
    </w:pPr>
    <w:rPr>
      <w:b/>
      <w:bCs/>
      <w:sz w:val="24"/>
      <w:szCs w:val="32"/>
    </w:rPr>
  </w:style>
  <w:style w:type="paragraph" w:styleId="4">
    <w:name w:val="heading 4"/>
    <w:basedOn w:val="1"/>
    <w:next w:val="1"/>
    <w:unhideWhenUsed/>
    <w:qFormat/>
    <w:uiPriority w:val="9"/>
    <w:pPr>
      <w:keepNext/>
      <w:keepLines/>
      <w:numPr>
        <w:ilvl w:val="3"/>
        <w:numId w:val="1"/>
      </w:numPr>
      <w:spacing w:before="50" w:beforeLines="50" w:after="50" w:afterLines="50" w:line="360" w:lineRule="auto"/>
      <w:jc w:val="left"/>
      <w:outlineLvl w:val="3"/>
    </w:pPr>
    <w:rPr>
      <w:rFonts w:ascii="Calibri Light" w:hAnsi="Calibri Light"/>
      <w:b/>
      <w:bCs/>
      <w:sz w:val="24"/>
      <w:szCs w:val="28"/>
    </w:rPr>
  </w:style>
  <w:style w:type="paragraph" w:styleId="5">
    <w:name w:val="heading 5"/>
    <w:basedOn w:val="1"/>
    <w:next w:val="1"/>
    <w:unhideWhenUsed/>
    <w:qFormat/>
    <w:uiPriority w:val="9"/>
    <w:pPr>
      <w:keepNext/>
      <w:keepLines/>
      <w:numPr>
        <w:ilvl w:val="4"/>
        <w:numId w:val="1"/>
      </w:numPr>
      <w:jc w:val="left"/>
      <w:outlineLvl w:val="4"/>
    </w:pPr>
    <w:rPr>
      <w:rFonts w:eastAsia="黑体"/>
      <w:bCs/>
      <w:szCs w:val="28"/>
    </w:rPr>
  </w:style>
  <w:style w:type="paragraph" w:styleId="6">
    <w:name w:val="heading 6"/>
    <w:basedOn w:val="1"/>
    <w:next w:val="1"/>
    <w:unhideWhenUsed/>
    <w:qFormat/>
    <w:uiPriority w:val="0"/>
    <w:pPr>
      <w:keepNext/>
      <w:keepLines/>
      <w:numPr>
        <w:ilvl w:val="5"/>
        <w:numId w:val="1"/>
      </w:numPr>
      <w:jc w:val="left"/>
      <w:outlineLvl w:val="5"/>
    </w:pPr>
    <w:rPr>
      <w:rFonts w:ascii="Calibri Light" w:hAnsi="Calibri Light" w:eastAsia="黑体"/>
      <w:bCs/>
    </w:rPr>
  </w:style>
  <w:style w:type="paragraph" w:styleId="7">
    <w:name w:val="heading 7"/>
    <w:basedOn w:val="1"/>
    <w:next w:val="1"/>
    <w:unhideWhenUsed/>
    <w:qFormat/>
    <w:uiPriority w:val="0"/>
    <w:pPr>
      <w:keepNext/>
      <w:keepLines/>
      <w:numPr>
        <w:ilvl w:val="6"/>
        <w:numId w:val="1"/>
      </w:numPr>
      <w:spacing w:before="240" w:after="64" w:line="317" w:lineRule="auto"/>
      <w:outlineLvl w:val="6"/>
    </w:pPr>
    <w:rPr>
      <w:b/>
      <w:sz w:val="24"/>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toc 2"/>
    <w:basedOn w:val="1"/>
    <w:next w:val="1"/>
    <w:qFormat/>
    <w:uiPriority w:val="39"/>
    <w:pPr>
      <w:tabs>
        <w:tab w:val="right" w:leader="dot" w:pos="9402"/>
      </w:tabs>
      <w:spacing w:line="360" w:lineRule="auto"/>
      <w:ind w:left="993" w:leftChars="202" w:hanging="569" w:hangingChars="237"/>
    </w:p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paragraph" w:customStyle="1" w:styleId="14">
    <w:name w:val="null3"/>
    <w:hidden/>
    <w:qFormat/>
    <w:uiPriority w:val="0"/>
    <w:rPr>
      <w:rFonts w:hint="eastAsia" w:asciiTheme="minorHAnsi" w:hAnsiTheme="minorHAnsi" w:eastAsiaTheme="minorEastAsia" w:cstheme="minorBidi"/>
      <w:lang w:val="en-US" w:eastAsia="zh-Hans" w:bidi="ar-SA"/>
    </w:rPr>
  </w:style>
  <w:style w:type="paragraph" w:customStyle="1" w:styleId="15">
    <w:name w:val="正文_0_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10"/>
    <w:autoRedefine/>
    <w:qFormat/>
    <w:uiPriority w:val="0"/>
    <w:rPr>
      <w:rFonts w:hint="default" w:ascii="Times New Roman" w:hAnsi="Times New Roman" w:cs="Times New Roman"/>
    </w:rPr>
  </w:style>
  <w:style w:type="paragraph" w:customStyle="1" w:styleId="17">
    <w:name w:val="正文_0_0_0"/>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8">
    <w:name w:val="缺省文本:1"/>
    <w:basedOn w:val="1"/>
    <w:qFormat/>
    <w:uiPriority w:val="0"/>
    <w:pPr>
      <w:autoSpaceDE w:val="0"/>
      <w:autoSpaceDN w:val="0"/>
      <w:adjustRightInd w:val="0"/>
      <w:spacing w:line="480" w:lineRule="exact"/>
      <w:jc w:val="left"/>
    </w:pPr>
    <w:rPr>
      <w:rFonts w:ascii="宋体" w:hAnsi="Times New Roman"/>
      <w:kern w:val="0"/>
    </w:rPr>
  </w:style>
  <w:style w:type="paragraph" w:styleId="19">
    <w:name w:val="List Paragraph"/>
    <w:basedOn w:val="1"/>
    <w:autoRedefine/>
    <w:qFormat/>
    <w:uiPriority w:val="34"/>
    <w:pPr>
      <w:ind w:firstLine="42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2026-04-29T08:17:00Z</dcterms:created>
  <dc:creator>徐刚</dc:creator>
  <cp:lastModifiedBy>徐刚</cp:lastModifiedBy>
  <dcterms:modified xsi:type="dcterms:W3CDTF">2026-04-29T08:17:36Z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35BAAF7B2D794E5FAB68F7756BF1AA99_11</vt:lpwstr>
  </property>
  <property fmtid="{D5CDD505-2E9C-101B-9397-08002B2CF9AE}" pid="4" name="KSOTemplateDocerSaveRecord">
    <vt:lpwstr>eyJoZGlkIjoiYTliNmY2YjQ0YjU1Mjg0YmJmZDkzOTQ2MWFjMDJlZTYiLCJ1c2VySWQiOiIzMjQ1MTU5MDQifQ==</vt:lpwstr>
  </property>
</Properties>
</file>