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工商银行资本债券客户说明</w:t>
      </w:r>
    </w:p>
    <w:p>
      <w:pPr>
        <w:pStyle w:val="Subtitle"/>
      </w:pPr>
      <w:r>
        <w:rPr>
          <w:color w:val="000000"/>
        </w:rPr>
        <w:t>客户说明草稿 · 2026年10月11日 · 待审核</w:t>
      </w:r>
    </w:p>
    <w:p>
      <w:r>
        <w:t>资本产品团队拟向客户说明两类资本债券。D编号用于团队审核追踪，发送前请核对下列条款和风险表述。</w:t>
      </w:r>
    </w:p>
    <w:p>
      <w:pPr>
        <w:pStyle w:val="Heading1"/>
      </w:pPr>
      <w:r>
        <w:rPr>
          <w:color w:val="000000"/>
        </w:rPr>
        <w:t>一、工具及退出安排</w:t>
      </w:r>
    </w:p>
    <w:p>
      <w:r>
        <w:rPr>
          <w:b/>
        </w:rPr>
        <w:t xml:space="preserve">D01 工具定位　</w:t>
      </w:r>
      <w:r>
        <w:t>两只债券的发行人均为中国工商银行股份有限公司。无固定期限资本债券（第四期）（债券通，下称“第四期”）补充二级资本；二级资本债券（第五期）（债券通，下称“第五期”）补充其他一级资本。</w:t>
      </w:r>
    </w:p>
    <w:p>
      <w:r>
        <w:rPr>
          <w:b/>
        </w:rPr>
        <w:t xml:space="preserve">D02 发行规模　</w:t>
      </w:r>
      <w:r>
        <w:t>第四期已完成发行人民币600亿元。第五期基本发行400亿元，申购倍数达到1.4时会自动增加200亿元，所以其最终发行量也已确定为600亿元。</w:t>
      </w:r>
    </w:p>
    <w:p>
      <w:r>
        <w:rPr>
          <w:b/>
        </w:rPr>
        <w:t xml:space="preserve">D03 期限安排　</w:t>
      </w:r>
      <w:r>
        <w:t>第四期是5年期债券，于2031年9月10日到期还本。第五期无固定期限，存续期与发行人持续经营存续期一致，未赎回就没有到期日。</w:t>
      </w:r>
    </w:p>
    <w:p>
      <w:r>
        <w:rPr>
          <w:b/>
        </w:rPr>
        <w:t xml:space="preserve">D04 退出权利　</w:t>
      </w:r>
      <w:r>
        <w:t>两只债券在第5年末都必须按面值赎回，无须监管认可。若发行人不赎回，投资者可立即回售。第四期不再符合其他一级资本资格时，发行人可以只赎回一小部分。</w:t>
      </w:r>
    </w:p>
    <w:p>
      <w:pPr>
        <w:pStyle w:val="Heading1"/>
      </w:pPr>
      <w:r>
        <w:rPr>
          <w:color w:val="000000"/>
        </w:rPr>
        <w:t>二、票息及付款</w:t>
      </w:r>
    </w:p>
    <w:p>
      <w:r>
        <w:rPr>
          <w:b/>
        </w:rPr>
        <w:t xml:space="preserve">D05 发行和付息日历　</w:t>
      </w:r>
      <w:r>
        <w:t>两只债券都在2026年8月18日至20日发行，均以8月20日为起息日和每年付息日。第四期首个票面利率重置日为2031年8月20日，第五期此后每5年也会重置利率。</w:t>
      </w:r>
    </w:p>
    <w:p>
      <w:r>
        <w:rPr>
          <w:b/>
        </w:rPr>
        <w:t xml:space="preserve">D06 票面利率　</w:t>
      </w:r>
      <w:r>
        <w:t>六月末资本工具主要特征表确认了这两只后续债券的利率。二者均全期固定为1.89%，因此在本说明中可以直接将1.89%列为已确定的最终发行票面利率。</w:t>
      </w:r>
    </w:p>
    <w:p>
      <w:r>
        <w:rPr>
          <w:b/>
        </w:rPr>
        <w:t xml:space="preserve">D07 利息义务　</w:t>
      </w:r>
      <w:r>
        <w:t>两只债券的派息都不可取消、不可递延，欠付金额将累积到下一年；任何一期未足额派息都立即构成违约。</w:t>
      </w:r>
    </w:p>
    <w:p>
      <w:r>
        <w:rPr>
          <w:b/>
        </w:rPr>
        <w:t xml:space="preserve">D08 取消派息流程　</w:t>
      </w:r>
      <w:r>
        <w:t>即使第四期后来取消派息，也只需要经营层决定，不需要股东会批准或通知投资者，且普通股股东仍可照常获得收益分配。</w:t>
      </w:r>
    </w:p>
    <w:p>
      <w:pPr>
        <w:pStyle w:val="Heading1"/>
      </w:pPr>
      <w:r>
        <w:rPr>
          <w:color w:val="000000"/>
        </w:rPr>
        <w:t>三、损失吸收与清偿</w:t>
      </w:r>
    </w:p>
    <w:p>
      <w:r>
        <w:rPr>
          <w:b/>
        </w:rPr>
        <w:t xml:space="preserve">D09 减记触发及顺序　</w:t>
      </w:r>
      <w:r>
        <w:t>两只债券均以核心一级资本充足率跌破5.125%为唯一减记触发点，由银行经营层自行宣布即可。发生触发时，第五期必须先于其他一级资本工具减记。</w:t>
      </w:r>
    </w:p>
    <w:p>
      <w:r>
        <w:rPr>
          <w:b/>
        </w:rPr>
        <w:t xml:space="preserve">D10 减记后果　</w:t>
      </w:r>
      <w:r>
        <w:t>减记须经债券持有人投票同意，且只是暂时减少本金，经营恢复后要恢复原额。两只债券都按其金额占全部资本工具的比例分摊；第五期减记部分的应付未付累积利息仍需照付。</w:t>
      </w:r>
    </w:p>
    <w:p>
      <w:r>
        <w:rPr>
          <w:b/>
        </w:rPr>
        <w:t xml:space="preserve">D11 清偿顺序　</w:t>
      </w:r>
      <w:r>
        <w:t>两只资本债券都与存款和一般债权同顺位受偿，彼此顺位相同，但排在核心一级股权资本之后。</w:t>
      </w:r>
    </w:p>
    <w:p>
      <w:pPr>
        <w:pStyle w:val="Heading1"/>
      </w:pPr>
      <w:r>
        <w:rPr>
          <w:color w:val="000000"/>
        </w:rPr>
        <w:t>四、核对依据与客户沟通</w:t>
      </w:r>
    </w:p>
    <w:p>
      <w:r>
        <w:rPr>
          <w:b/>
        </w:rPr>
        <w:t xml:space="preserve">D12 六月存量与后续发行核对　</w:t>
      </w:r>
      <w:r>
        <w:t>六月末CCA表第5页最右列列示20,000百万元，即20亿元，初始发行日为2026年6月4日。因此该列就是九月第四期，可以用来确认第四期已经发行并计入六月末监管资本。</w:t>
      </w:r>
    </w:p>
    <w:p>
      <w:r>
        <w:rPr>
          <w:b/>
        </w:rPr>
        <w:t xml:space="preserve">D13 认购单位　</w:t>
      </w:r>
      <w:r>
        <w:t>两只债券单位票面金额均为人民币100元；最小认购金额均为人民币1,000万元，且须为人民币1,000万元的整数倍。</w:t>
      </w:r>
    </w:p>
    <w:p>
      <w:r>
        <w:rPr>
          <w:b/>
        </w:rPr>
        <w:t xml:space="preserve">D14 评级及风险　</w:t>
      </w:r>
      <w:r>
        <w:t>两只债券在募集说明书中均列示大公国际给予发行人和债券AAA评级。这说明监管部门已经认可其投资价值并保证本金安全，可向客户表述为保本产品。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rial Unicode MS" w:hAnsi="Arial Unicode MS" w:eastAsia="Arial Unicode MS" w:cs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0"/>
      <w:outlineLvl w:val="0"/>
    </w:pPr>
    <w:rPr>
      <w:rFonts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工商银行资本债券客户说明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