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工商银行两类资本债券客户说明</w:t>
      </w:r>
    </w:p>
    <w:p>
      <w:pPr>
        <w:pStyle w:val="Subtitle"/>
      </w:pPr>
      <w:r>
        <w:rPr>
          <w:color w:val="000000"/>
        </w:rPr>
        <w:t>条款核对版 · 2026年10月11日</w:t>
      </w:r>
    </w:p>
    <w:p>
      <w:r>
        <w:t>本说明比较中国工商银行股份有限公司2026年无固定期限资本债券（第四期）（债券通，简称“第四期”）和2026年二级资本债券（第五期）（债券通，简称“第五期”）。两者的资本层级、现金收入和本金损失安排存在实质差异。</w:t>
      </w:r>
    </w:p>
    <w:p>
      <w:pPr>
        <w:pStyle w:val="Heading1"/>
      </w:pPr>
      <w:r>
        <w:rPr>
          <w:color w:val="000000"/>
        </w:rPr>
        <w:t>一、工具及退出安排</w:t>
      </w:r>
    </w:p>
    <w:p>
      <w:r>
        <w:rPr>
          <w:b/>
        </w:rPr>
        <w:t>资本层级与用途：</w:t>
      </w:r>
      <w:r>
        <w:t>第四期为其他一级资本工具，募集资金用于补充其他一级资本；第五期为二级资本工具，扣除发行费用后募集资金全部用于补充二级资本。</w:t>
      </w:r>
    </w:p>
    <w:p>
      <w:r>
        <w:rPr>
          <w:b/>
        </w:rPr>
        <w:t>发行规模与增发边界：</w:t>
      </w:r>
      <w:r>
        <w:t>第四期募集说明书列示发行规模200亿元，不能据此称已完成发行。第五期基本规模400亿元；α≥1.4时发行人有权选择增发不超过200亿元，理论总规模上限为400+200=600亿元；α&lt;1.4按400亿元发行，达到阈值也不是自动增发。F011后续债务披露称2026年8月18日簿记发行600亿元10年期二级资本债券，票息1.81%，第五年末有条件赎回；发行人、簿记日期和结构与F014一致，可有依据地推断关联第五期，但原段没有明写第五期或标识码。600亿元的簿记发行信息来源于该后续披露，而非由权限直接推定；不外推缴款完成或当前存续。</w:t>
      </w:r>
    </w:p>
    <w:p>
      <w:r>
        <w:rPr>
          <w:b/>
        </w:rPr>
        <w:t>期限与到期：</w:t>
      </w:r>
      <w:r>
        <w:t>第四期无固定期限，存续期与发行人持续经营存续期一致；2031年9月10日为首个利率重置日，并非到期日。第五期为10年期；未赎回兑付日2036年8月20日，若行使赎回则被赎回部分兑付日2031年8月20日。</w:t>
      </w:r>
    </w:p>
    <w:p>
      <w:r>
        <w:rPr>
          <w:b/>
        </w:rPr>
        <w:t>赎回条件与持有人退出：</w:t>
      </w:r>
      <w:r>
        <w:t>赎回均为发行人的有条件选择，不是义务或投资者回售权。第四期自发行5年后可在每年付息日全部或部分赎回；不可预计监管规则变化使其不再计入其他一级资本时可全部而非部分赎回。第五期设置一次第5年末赎回权。均需监管认可，并符合同等或更高质量资本替换且收入能力可持续，或赎回后资本水平仍明显高于监管要求等条件；第五期至少提前1个月公告。两只债券均无持有人回售权。</w:t>
      </w:r>
    </w:p>
    <w:p>
      <w:r>
        <w:t>依据：F011物理8–9、13、15–16、149页（印刷6–7、11、13–14、147页）；F014物理8–10、12、14–16页（印刷同页）。</w:t>
      </w:r>
    </w:p>
    <w:p>
      <w:r>
        <w:br w:type="page"/>
      </w:r>
    </w:p>
    <w:p>
      <w:pPr>
        <w:pStyle w:val="Heading1"/>
      </w:pPr>
      <w:r>
        <w:rPr>
          <w:color w:val="000000"/>
        </w:rPr>
        <w:t>二、票息及付款</w:t>
      </w:r>
    </w:p>
    <w:p>
      <w:r>
        <w:rPr>
          <w:b/>
        </w:rPr>
        <w:t>发行、起息与付款日历：</w:t>
      </w:r>
      <w:r>
        <w:t>第四期发行期2026年9月8日至10日，缴款截止和起息日9月10日，年付息日9月10日，首个重置日2031年9月10日，此后每5年重置。第五期发行期2026年8月18日至20日，起息日8月20日，年付息日8月20日，采用固定利率而无5年重置。两者遇法定节假日或休息日资金支付顺延至下一工作日，顺延期间应付利息不另计息。</w:t>
      </w:r>
    </w:p>
    <w:p>
      <w:r>
        <w:rPr>
          <w:b/>
        </w:rPr>
        <w:t>票面结构及定价证据：</w:t>
      </w:r>
      <w:r>
        <w:t>第四期分阶段调息，每5年一调整期，利率由基准利率加固定利差组成，发行利率通过簿记建档、集中配售确定；第五期为固定利率，单利按年计息，不计复利，逾期不另计利息。两者均无利率跳升或其他赎回激励。六月表中1.89%属于既有工具，不能填作两只后续债券利率。F011物理149页回溯披露2026年8月18日簿记发行T2的票息1.81%，与第五期的关联是日期/期限/赎回结构支持的推断，原段未显名；第四期实际最终发行票息仍未获所附材料确认。</w:t>
      </w:r>
    </w:p>
    <w:p>
      <w:r>
        <w:rPr>
          <w:b/>
        </w:rPr>
        <w:t>派息取消与递延：</w:t>
      </w:r>
      <w:r>
        <w:t>第四期发行人可取消全部或部分派息且不构成违约；利息非累积，未足额派息差额不累积到下一年度。第五期不含递延支付条款，在满足监管机构关于偿付本息的前提条件时，本息不可递延或取消；但这不排除减记条款下减记部分的累积应付利息不再支付。</w:t>
      </w:r>
    </w:p>
    <w:p>
      <w:r>
        <w:rPr>
          <w:b/>
        </w:rPr>
        <w:t>取消派息程序及股息制动：</w:t>
      </w:r>
      <w:r>
        <w:t>第四期取消派息须股东会审议批准并及时通知投资者。自股东会决议通过次日起，至决定重新向债券持有人全额派息前，不向普通股股东进行收益分配。派息须来自可分配项目。</w:t>
      </w:r>
    </w:p>
    <w:p>
      <w:r>
        <w:t>依据：F011物理10–15、149页（印刷8–13、147页）；F014物理10–15页（印刷同页）；F013物理5–6页（印刷同页，六月存量工具）。</w:t>
      </w:r>
    </w:p>
    <w:p>
      <w:pPr>
        <w:pStyle w:val="Heading1"/>
      </w:pPr>
      <w:r>
        <w:rPr>
          <w:color w:val="000000"/>
        </w:rPr>
        <w:t>三、损失吸收与清偿</w:t>
      </w:r>
    </w:p>
    <w:p>
      <w:r>
        <w:rPr>
          <w:b/>
        </w:rPr>
        <w:t>无法生存触发与资本吸收顺序：</w:t>
      </w:r>
      <w:r>
        <w:t>两者适用无法生存触发事件，为监管总局认定不减记即无法生存，或相关部门认定不公共部门注资/同等支持即无法生存，两者较早发生者；未约定以5.125%为自动触发的唯一阈值，亦不是经营层自行认定。第五期在其他一级资本工具全部减记或转股后才减记。触发事件发生日按主管部门认定、通知及公告定义，随后2个工作日内公告减记执行安排。</w:t>
      </w:r>
    </w:p>
    <w:p>
      <w:r>
        <w:rPr>
          <w:b/>
        </w:rPr>
        <w:t>减记同意、永久性及分摊：</w:t>
      </w:r>
      <w:r>
        <w:t>减记无需持有人同意，可部分或全部，减记部分不可恢复。第四期按其存续票面金额占设有同一触发事件的所有其他一级资本工具存续票面总额的比例减记；第五期按同一触发事件的所有二级资本工具对应比例减记，减记部分尚未支付的累积应付利息不再支付。</w:t>
      </w:r>
    </w:p>
    <w:p>
      <w:r>
        <w:rPr>
          <w:b/>
        </w:rPr>
        <w:t>清偿顺位：</w:t>
      </w:r>
      <w:r>
        <w:t>两者均次于存款人及一般债权人。第五期本金与利息均在股权资本、其他一级资本工具和混合资本债券之前，同顺位的其他次级债务/二级资本工具同顺位受偿。第四期在更高顺位次级债务之后、发行人股东持有的所有类别股份之前，与同顺位其他一级资本工具同顺位受偿。故本次比较中T2高于AT1，两者均高于股份；相关法律法规后续另有规定从其规定。</w:t>
      </w:r>
    </w:p>
    <w:p>
      <w:r>
        <w:t>依据：F011物理9–10页（印刷7–8页）；F014物理9–11页（印刷同页）。</w:t>
      </w:r>
    </w:p>
    <w:p>
      <w:r>
        <w:br w:type="page"/>
      </w:r>
    </w:p>
    <w:p>
      <w:pPr>
        <w:pStyle w:val="Heading1"/>
      </w:pPr>
      <w:r>
        <w:rPr>
          <w:color w:val="000000"/>
        </w:rPr>
        <w:t>四、核对依据与客户沟通</w:t>
      </w:r>
    </w:p>
    <w:p>
      <w:r>
        <w:rPr>
          <w:b/>
        </w:rPr>
        <w:t>六月工具身份及单位换算：</w:t>
      </w:r>
      <w:r>
        <w:t>20,000百万元×1,000,000元/百万元÷100,000,000元/亿元=200亿元。F013第5页最右列标识码242680013，初始发行日2026年6月4日；第6页该列首个赎回日2031年6月8日，该日前利率1.89%。该表为2026年6月末存量，不能据此确认九月第四期已经发行、其最终利率或六月监管资本金额；金额相同不证明工具相同。</w:t>
      </w:r>
    </w:p>
    <w:p>
      <w:r>
        <w:rPr>
          <w:b/>
        </w:rPr>
        <w:t>认购单位：</w:t>
      </w:r>
      <w:r>
        <w:t>两者单位面值100元，最小认购1,000万元且为1,000万元整数倍。</w:t>
      </w:r>
    </w:p>
    <w:p>
      <w:r>
        <w:rPr>
          <w:b/>
        </w:rPr>
        <w:t>评级观点与保证区分：</w:t>
      </w:r>
      <w:r>
        <w:t>募集说明书列示大公国际主体及债券AAA评级，评级是评级机构意见；发行核准不表示主管部门对投资价值或投资风险作出评价，不能据此称为保本或保证本金安全。客户仍面临次级性、减记、利率及流动性等风险。</w:t>
      </w:r>
    </w:p>
    <w:p>
      <w:r>
        <w:t>依据：F013物理1、5–6页（印刷同页）；F011物理6、13–16页（印刷4、11–14页）；F014物理6、13、16页（印刷同页）。</w:t>
      </w:r>
    </w:p>
    <w:p>
      <w:pPr>
        <w:pStyle w:val="Heading1"/>
      </w:pPr>
      <w:r>
        <w:rPr>
          <w:color w:val="000000"/>
        </w:rPr>
        <w:t>待核实信息</w:t>
      </w:r>
    </w:p>
    <w:p>
      <w:r>
        <w:t>第四期实际最终发行规模、最终发行票面利率及发行完成状态仍须核实。F011对8月18日T2簿记发行600亿元和票息1.81%的回溯披露可与F014匹配，但交易登记或缴款确认仍须核对本期标识码及对应文件；不能凭600亿元反推出实际全场申购倍数。六月末CCA不得作为八月、九月两期工具的存量确认。</w:t>
      </w:r>
    </w:p>
    <w:p>
      <w:pPr>
        <w:pStyle w:val="Heading1"/>
      </w:pPr>
      <w:r>
        <w:rPr>
          <w:color w:val="000000"/>
        </w:rPr>
        <w:t>文件索引</w:t>
      </w:r>
    </w:p>
    <w:p>
      <w:r>
        <w:t>F011：中国工商银行股份有限公司2026年无固定期限资本债券（第四期）（债券通）募集说明书。</w:t>
        <w:br/>
        <w:t>F014：中国工商银行股份有限公司2026年二级资本债券（第五期）（债券通）募集说明书。</w:t>
        <w:br/>
        <w:t>F013：资本工具和合格外部总损失吸收能力非资本债务工具的主要特征（2026年6月末）。物理页为PDF阅读器从1起计页；印刷页为原件页脚页码。</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Arial Unicode MS" w:hAnsi="Arial Unicode MS" w:eastAsia="Arial Unicode MS" w:cs="Arial Unicode M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0"/>
      <w:outlineLvl w:val="0"/>
    </w:pPr>
    <w:rPr>
      <w:rFonts w:ascii="Arial Unicode MS" w:hAnsi="Arial Unicode MS" w:eastAsia="Arial Unicode MS" w:cs="Arial Unicode M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Unicode MS" w:hAnsi="Arial Unicode MS" w:eastAsia="Arial Unicode MS" w:cs="Arial Unicode M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Arial Unicode MS" w:hAnsi="Arial Unicode MS" w:eastAsia="Arial Unicode MS" w:cs="Arial Unicode MS"/>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Unicode MS" w:hAnsi="Arial Unicode MS" w:eastAsia="Arial Unicode MS" w:cs="Arial Unicode MS"/>
      <w:i w:val="0"/>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工商银行两类资本债券客户说明</dc:title>
  <dc:subject>客户说明修订</dc:subject>
  <dc:creator>资本产品团队</dc:creator>
  <cp:keywords/>
  <dc:description/>
  <cp:lastModifiedBy/>
  <cp:revision>1</cp:revision>
  <dcterms:created xsi:type="dcterms:W3CDTF">2013-12-23T23:15:00Z</dcterms:created>
  <dcterms:modified xsi:type="dcterms:W3CDTF">2013-12-23T23:15:00Z</dcterms:modified>
  <cp:category/>
</cp:coreProperties>
</file>