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万国数据中心 REIT 分配方案财务意见</w:t>
      </w:r>
    </w:p>
    <w:p>
      <w:r>
        <w:t>致财务负责人    分析时点 2026年3月31日</w:t>
      </w:r>
    </w:p>
    <w:p>
      <w:r>
        <w:t>基准情景下，8,500万元处于测算分配区间内，可在上限约束下安排705.85万元新增预留。收入下降10%并新增500万元预留后，8,500万元超过上限593.88万元，建议下调拟分配额至压力情景区间内，或先调整收入和支出安排，再提交分配审批。以下测算按财务讨论参数执行，实际支付仍需核实资金归集、银行余额和审批条件。</w:t>
      </w:r>
    </w:p>
    <w:p>
      <w:pPr>
        <w:pStyle w:val="Heading1"/>
      </w:pPr>
      <w:r>
        <w:t>分配区间及新增预留能力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before="60" w:after="60"/>
            </w:pPr>
            <w:r>
              <w:rPr>
                <w:sz w:val="19"/>
              </w:rPr>
              <w:t>指标 人民币元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before="60" w:after="60"/>
            </w:pPr>
            <w:r>
              <w:rPr>
                <w:sz w:val="19"/>
              </w:rPr>
              <w:t>基准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before="60" w:after="60"/>
            </w:pPr>
            <w:r>
              <w:rPr>
                <w:sz w:val="19"/>
              </w:rPr>
              <w:t>压力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情景可供分配金额 D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92,058,481.99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79,061,190.34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60" w:after="60"/>
            </w:pPr>
            <w:r>
              <w:rPr>
                <w:sz w:val="19"/>
              </w:rPr>
              <w:t>90% 下限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60" w:after="60"/>
            </w:pPr>
            <w:r>
              <w:rPr>
                <w:sz w:val="19"/>
              </w:rPr>
              <w:t>82,852,633.79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60" w:after="60"/>
            </w:pPr>
            <w:r>
              <w:rPr>
                <w:sz w:val="19"/>
              </w:rPr>
              <w:t>71,155,071.31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100% 上限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92,058,481.99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79,061,190.34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60" w:after="60"/>
            </w:pPr>
            <w:r>
              <w:rPr>
                <w:sz w:val="19"/>
              </w:rPr>
              <w:t>正向可分配每份金额 元每份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60" w:after="60"/>
            </w:pPr>
            <w:r>
              <w:rPr>
                <w:sz w:val="19"/>
              </w:rPr>
              <w:t>0.1150731025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60" w:after="60"/>
            </w:pPr>
            <w:r>
              <w:rPr>
                <w:sz w:val="19"/>
              </w:rPr>
              <w:t>0.0988264879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拟分配额对上限余量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7,058,481.99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(5,938,809.66)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60" w:after="60"/>
            </w:pPr>
            <w:r>
              <w:rPr>
                <w:sz w:val="19"/>
              </w:rPr>
              <w:t>拟分配额对下限余量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60" w:after="60"/>
            </w:pPr>
            <w:r>
              <w:rPr>
                <w:sz w:val="19"/>
              </w:rPr>
              <w:t>2,147,366.21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60" w:after="60"/>
            </w:pPr>
            <w:r>
              <w:rPr>
                <w:sz w:val="19"/>
              </w:rPr>
              <w:t>13,844,928.69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新增预留总预算 只测试上限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7,058,481.99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(938,809.66)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60" w:after="60"/>
            </w:pPr>
            <w:r>
              <w:rPr>
                <w:sz w:val="19"/>
              </w:rPr>
              <w:t>扣除当前新增预留后剩余空间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60" w:after="60"/>
            </w:pPr>
            <w:r>
              <w:rPr>
                <w:sz w:val="19"/>
              </w:rPr>
              <w:t>7,058,481.99</w:t>
            </w:r>
          </w:p>
        </w:tc>
        <w:tc>
          <w:tcPr>
            <w:tcW w:type="dxa" w:w="32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before="60" w:after="60"/>
            </w:pPr>
            <w:r>
              <w:rPr>
                <w:sz w:val="19"/>
              </w:rPr>
              <w:t>(5,938,809.66)</w:t>
            </w:r>
          </w:p>
        </w:tc>
      </w:tr>
    </w:tbl>
    <w:p>
      <w:r>
        <w:t>工作簿“分配模型”活动结果及参数、“敏感性”公式矩阵为上述结果的复核入口。负预算表示未增加预留前已无法达到拟分配目标，不能作为可安排的负预留。压力情景总预算负93.88万元，再计入500万元新增预留后缺口为593.88万元。即使调整拟分配额，也须同时复核90%下限。</w:t>
      </w:r>
    </w:p>
    <w:p>
      <w:pPr>
        <w:pStyle w:val="Heading1"/>
      </w:pPr>
      <w:r>
        <w:t>历史金额的复算</w:t>
      </w:r>
    </w:p>
    <w:p>
      <w:r>
        <w:t>报告期为2025年7月18日至12月31日，合同生效日为7月18日，期末份额8亿份。合并净利润2,328.08万元，加回折旧摊销、利息及所得税费用后，基金EBITDA为7,279.98万元；按年报调增及调减项目计入发行等资金、资本支出、还本和付息付税，预留前金额为13,078.20万元，扣除原预留3,872.35万元后为9,205.85万元。历史桥接与年报披露的差额为0.00元。原预留已纳入锚点，新增预留只作为增量扣减一次。</w:t>
      </w:r>
    </w:p>
    <w:p>
      <w:r>
        <w:t>依据 年报PDF物理页6、9、10，印刷页5、8、9，2.1、3.1、3.3.1及3.3.2.1。</w:t>
      </w:r>
    </w:p>
    <w:p>
      <w:r>
        <w:br w:type="page"/>
      </w:r>
    </w:p>
    <w:p>
      <w:pPr>
        <w:pStyle w:val="Heading1"/>
      </w:pPr>
      <w:r>
        <w:t>实体口径和披露条件</w:t>
      </w:r>
    </w:p>
    <w:p>
      <w:r>
        <w:t>项目公司营业收入7,997.29万元是收入下降的驱动值。基金本期收入8,945.73万元还包括利息、投资收益等收入口径，不能替代项目营业收入；项目EBITDA6,812.08万元也不能替代基金合并EBITDA。可供分配金额是在合并净利润基础上合理调整所得，不能直接用经营现金净流量代替。</w:t>
      </w:r>
    </w:p>
    <w:p>
      <w:r>
        <w:t>项目经营现金流入21,395.22万元减流出9,563.80万元，复算净流量11,831.42万元，与项目披露一致；基金经营现金净流量12,697.31万元，基金减项目差额为865.89万元。该差额表明主体及范围不同，年报上述段落未提供差额分项拆解，不能据此自行归因或将项目现金等同基金可付现金。依据 PDF物理页9、18、19，印刷页8、17、18，3.1、4.3.1、4.3.3、4.4.1。</w:t>
      </w:r>
    </w:p>
    <w:p>
      <w:r>
        <w:t>年报披露原预留用于重大资本性支出、运营费用、基金管理费、基金托管费及待缴税金等，用途分项金额未披露。本期计提基金管理费2,196,163.56元、托管费109,807.51元、运营管理费9,964,029.05元，年报说明已在净利润及可供分配金额中扣减。此次保持原处理，避免再次扣减这些本期费用。自2025年3月31日评估基准日起的过渡期损益归基金投资人所有，已纳入报告期可供分配金额。依据 PDF物理页10至11，印刷页9至10，3.3.2.1注1至2、3.3.2.3、3.4.1。</w:t>
      </w:r>
    </w:p>
    <w:p>
      <w:r>
        <w:t>报告期实际分配披露为“无”。基金在年末合同生效未满六个月，政策允许不进行收益分配，不能由此判定违反90%要求。此次年度方案测算则采用六个月例外不适用、其他分红条件满足且年度尚无分配的前提。年报规定现金分红、每份同等分配权和不低于90%的要求；100%上限是本次方案参数。依据 PDF物理页6至7、10、28，印刷页5至6、9、27，2.1、3.3.1.2、7.2.4。</w:t>
      </w:r>
    </w:p>
    <w:p>
      <w:pPr>
        <w:pStyle w:val="Heading1"/>
      </w:pPr>
      <w:r>
        <w:t>模型使用和复核</w:t>
      </w:r>
    </w:p>
    <w:p>
      <w:r>
        <w:t>D等于历史复算可供分配金额减项目收入下降额、再减新增预留。收入损失按一比一映射，未测算成本节省、税金节省或营运资本释放。正向额度取D与0的较大值；下限为其90%，上限为其100%，按8亿份计算每份金额。拟分配额对上限余量为上限减拟分配额，对下限余量为拟分配额减下限。D非正时保留D，额度和每份金额为0，并显示无正向分配空间。</w:t>
      </w:r>
    </w:p>
    <w:p>
      <w:r>
        <w:t>选择基准、压力或自定义后，活动参数驱动同一模型。二维矩阵逐项引用历史锚点、项目收入、各行降幅、各列新增预留及拟分配额。基准点为0%及0预留，压力点为10%及500万元预留。复核时先检查历史三项勾稽差额，再调整自定义降幅、预留和拟分配额，验证对应点和状态联动。0是有效输入；空白或超范围活动参数应显示不可用，未选参数缺失不影响当前情景。</w:t>
      </w:r>
    </w:p>
    <w:p>
      <w:r>
        <w:t>历史报告期不是完整会计年度，包含购入项目、发行资金和过渡期损益。本模型保留这些已披露项目作静态基础，不机械年化为2026盈利；真实年度预测需要新的经营计划，支付能力需要银行现金及归集明细，正式分配需要按合同完成审批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万国数据中心REIT分配方案财务意见</dc:title>
  <dc:subject/>
  <dc:creator>基金投后财务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