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九有信息披露事项内部核查初稿</w:t>
      </w:r>
    </w:p>
    <w:p>
      <w:r>
        <w:t>提交合规委员会审阅</w:t>
      </w:r>
    </w:p>
    <w:p>
      <w:r>
        <w:t>本稿汇总九有信息披露处罚事项，供委员会讨论。S01至S12为本轮拟提交表述，请法律顾问逐项复核并形成修改稿。</w:t>
      </w:r>
    </w:p>
    <w:p>
      <w:pPr>
        <w:pStyle w:val="Heading2"/>
      </w:pPr>
      <w:r>
        <w:t>S01</w:t>
      </w:r>
    </w:p>
    <w:p>
      <w:r>
        <w:t>本报告是调查底稿；我们已直接核验决定列举的合同、银行流水和聊天记录，证明全部交易虚假。</w:t>
      </w:r>
    </w:p>
    <w:p>
      <w:pPr>
        <w:pStyle w:val="Heading2"/>
      </w:pPr>
      <w:r>
        <w:t>S02</w:t>
      </w:r>
    </w:p>
    <w:p>
      <w:r>
        <w:t>2020年公司取得亳州纵翔90%股权属于独立第三方正常捐赠，不涉及关联交易披露。</w:t>
      </w:r>
    </w:p>
    <w:p>
      <w:pPr>
        <w:pStyle w:val="Heading2"/>
      </w:pPr>
      <w:r>
        <w:t>S03</w:t>
      </w:r>
    </w:p>
    <w:p>
      <w:r>
        <w:t>2020年虚增营业外收入、虚减资本公积、虚增净利润各63,973,167.75元，三项相加即公司损失191,919,503.25元。</w:t>
      </w:r>
    </w:p>
    <w:p>
      <w:pPr>
        <w:pStyle w:val="Heading2"/>
      </w:pPr>
      <w:r>
        <w:t>S04</w:t>
      </w:r>
    </w:p>
    <w:p>
      <w:r>
        <w:t>公布百分比准确无误，除法即可恢复八项精确报表金额；2021至2023年利润均为正，按反推金额扣虚增额即可得到真实净利润。</w:t>
      </w:r>
    </w:p>
    <w:p>
      <w:pPr>
        <w:pStyle w:val="Heading2"/>
      </w:pPr>
      <w:r>
        <w:t>S05</w:t>
      </w:r>
    </w:p>
    <w:p>
      <w:r>
        <w:t>2021至2023年每年均由北京中广阳、博铭锐创、汉诺睿雅三家子公司共同虚构营销业务，所列虚增营收和利润可以相加成为诈骗损失。</w:t>
      </w:r>
    </w:p>
    <w:p>
      <w:pPr>
        <w:pStyle w:val="Heading2"/>
      </w:pPr>
      <w:r>
        <w:t>S06</w:t>
      </w:r>
    </w:p>
    <w:p>
      <w:r>
        <w:t>金铉玉、朱文龙、肖自然、曹放、包笠、任希宁、王能海、王北均为2020至2023年直接负责的主管人员，均签署全部年度报告。</w:t>
      </w:r>
    </w:p>
    <w:p>
      <w:pPr>
        <w:pStyle w:val="Heading2"/>
      </w:pPr>
      <w:r>
        <w:t>S07</w:t>
      </w:r>
    </w:p>
    <w:p>
      <w:r>
        <w:t>肖自然不知情、曹放被动任职、王能海履职受限及王北无划款权限已被确认，故四人依法免责；其余申辩也全部获采纳。</w:t>
      </w:r>
    </w:p>
    <w:p>
      <w:pPr>
        <w:pStyle w:val="Heading2"/>
      </w:pPr>
      <w:r>
        <w:t>S08</w:t>
      </w:r>
    </w:p>
    <w:p>
      <w:r>
        <w:t>任希宁是北京中广阳总经理，王北是财务总监，二人2023年报签字说明其共同导致2023年虚假记载。</w:t>
      </w:r>
    </w:p>
    <w:p>
      <w:pPr>
        <w:pStyle w:val="Heading2"/>
      </w:pPr>
      <w:r>
        <w:t>S09</w:t>
      </w:r>
    </w:p>
    <w:p>
      <w:r>
        <w:t>王能海未参加听证，也未提交陈述申辩，处罚程序只覆盖其余七人。</w:t>
      </w:r>
    </w:p>
    <w:p>
      <w:pPr>
        <w:pStyle w:val="Heading2"/>
      </w:pPr>
      <w:r>
        <w:t>S10</w:t>
      </w:r>
    </w:p>
    <w:p>
      <w:r>
        <w:t>本决定对八人均处300万元罚款，另对公司和李某本次各处相同罚款；所有人均三年不得买卖股票。</w:t>
      </w:r>
    </w:p>
    <w:p>
      <w:pPr>
        <w:pStyle w:val="Heading2"/>
      </w:pPr>
      <w:r>
        <w:t>S11</w:t>
      </w:r>
    </w:p>
    <w:p>
      <w:r>
        <w:t>禁入自网页发文日期起至三周年届满；罚款、复议、诉讼的截止日也从该日计算，复议期间全部停止执行。</w:t>
      </w:r>
    </w:p>
    <w:p>
      <w:pPr>
        <w:pStyle w:val="Heading2"/>
      </w:pPr>
      <w:r>
        <w:t>S12</w:t>
      </w:r>
    </w:p>
    <w:p>
      <w:r>
        <w:t>公开决定已证明八人构成刑事诈骗；本部门可以按照三项虚增总额直接向每个人分摊索赔。</w:t>
      </w: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九有信息披露事项内部核查初稿</dc:title>
  <dc:subject>委员会待审材料</dc:subject>
  <dc:creator>合规事务组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