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九有信息披露处罚决定内部核查审改报告</w:t>
      </w:r>
    </w:p>
    <w:p>
      <w:r>
        <w:t>致合规委员会  依据2026年10月11日采集快照</w:t>
      </w:r>
    </w:p>
    <w:p>
      <w:r>
        <w:t>建议以本报告逐段修订稿替换初稿。决定中的财务数字和个人行为属于监管认定；我们未持有底层调查证据。主要纠正包括同一赠与事项重复计入损失、利润总额误写净利润、绝对值分母推出盈利、八人责任年度和禁入范围混写。配套核查台账分别列出八项比例反推及八人责任与补证建议。</w:t>
      </w:r>
    </w:p>
    <w:p>
      <w:r>
        <w:t>本次核查限于中国内地证券行政监管公开决定的事后文本复核。行政处罚和禁入结果已经可见；本报告不重新作出刑事、民事或法定量罚结论，也不恢复完整年报。决定引述《证券法》第七十八条、第一百九十七条第二款、第二百二十一条及证监会令第185号相关条款；这里只记录其引述，未使用外部法条版本。</w:t>
      </w:r>
    </w:p>
    <w:p>
      <w:pPr>
        <w:pStyle w:val="Heading1"/>
      </w:pPr>
      <w:r>
        <w:t>金额口径与复核方法</w:t>
      </w:r>
    </w:p>
    <w:p>
      <w:r>
        <w:t>按可见假设，设金额分子a、公布百分数p，点估计为a÷(p÷100)。真实百分数属于[p−0.005,p+0.005)，故正分母D属于[a÷((p+0.005)÷100), a÷((p−0.005)÷100)]。下界和上界均包含；展示金额四舍五入至分，不改变未舍入边界。金额核查表以公式保留计算。R04、R06、R08只反推利润总额绝对值，无法从材料恢复正负。</w:t>
      </w:r>
    </w:p>
    <w:p>
      <w:r>
        <w:t>P15的63,973,167.75元在营业外收入、资本公积和利润总额反复出现，是同一事项的科目影响。P18的2021至2023年虚增营业收入合计359,354,993.00元、虚增利润总额合计34,359,214.17元，可各自作为跨年披露口径摘要，二者不合并作损失。该合计不能分摊到各子公司或个人。</w:t>
      </w:r>
    </w:p>
    <w:p>
      <w:pPr>
        <w:pStyle w:val="Heading1"/>
      </w:pPr>
      <w:r>
        <w:t>逐段修订</w:t>
      </w:r>
    </w:p>
    <w:p>
      <w:pPr>
        <w:pStyle w:val="Heading2"/>
      </w:pPr>
      <w:r>
        <w:t>S01</w:t>
      </w:r>
    </w:p>
    <w:p>
      <w:r>
        <w:t>原文  本报告是调查底稿；我们已直接核验决定列举的合同、银行流水和聊天记录，证明全部交易虚假。</w:t>
      </w:r>
    </w:p>
    <w:p>
      <w:r>
        <w:t>修改后  本报告仅复核公开处罚决定的表述。决定列举合同、银行账户资料、询问笔录、通讯记录等证据，但这些底层材料未在已交材料提供，我们没有独立核验其内容。</w:t>
      </w:r>
    </w:p>
    <w:p>
      <w:r>
        <w:t>依据及理由  L041 P12、P26。监管认定与独立核查须分层。不得假称有完整卷宗。</w:t>
      </w:r>
    </w:p>
    <w:p>
      <w:pPr>
        <w:pStyle w:val="Heading2"/>
      </w:pPr>
      <w:r>
        <w:t>S02</w:t>
      </w:r>
    </w:p>
    <w:p>
      <w:r>
        <w:t>原文  2020年公司取得亳州纵翔90%股权属于独立第三方正常捐赠，不涉及关联交易披露。</w:t>
      </w:r>
    </w:p>
    <w:p>
      <w:r>
        <w:t>修改后  决定认定2020年无偿受让亳州纵翔90%股权，实质为关联人李某无偿赠与，构成关联交易；未按规定披露该关联信息，亦未在2020年报披露。</w:t>
      </w:r>
    </w:p>
    <w:p>
      <w:r>
        <w:t>依据及理由  L041 P15。保留认定归属和信息披露缺陷；不能把交易披露等同关联属性已披露。</w:t>
      </w:r>
    </w:p>
    <w:p>
      <w:pPr>
        <w:pStyle w:val="Heading2"/>
      </w:pPr>
      <w:r>
        <w:t>S03</w:t>
      </w:r>
    </w:p>
    <w:p>
      <w:r>
        <w:t>原文  2020年虚增营业外收入、虚减资本公积、虚增净利润各63,973,167.75元，三项相加即公司损失191,919,503.25元。</w:t>
      </w:r>
    </w:p>
    <w:p>
      <w:r>
        <w:t>修改后  决定记载的是同一赠与事项导致营业外收入虚增、资本公积虚减、利润总额虚增各63,973,167.75元。利润总额是营业外收入影响的结果，不应把三处金额相加认定公司损失，也不能改称净利润。</w:t>
      </w:r>
    </w:p>
    <w:p>
      <w:r>
        <w:t>依据及理由  L041 P15。科目影响不是三个独立损失，决定未提供净利润、税影响或损害基数。</w:t>
      </w:r>
    </w:p>
    <w:p>
      <w:pPr>
        <w:pStyle w:val="Heading2"/>
      </w:pPr>
      <w:r>
        <w:t>S04</w:t>
      </w:r>
    </w:p>
    <w:p>
      <w:r>
        <w:t>原文  公布百分比准确无误，除法即可恢复八项精确报表金额；2021至2023年利润均为正，按反推金额扣虚增额即可得到真实净利润。</w:t>
      </w:r>
    </w:p>
    <w:p>
      <w:r>
        <w:t>修改后  八项反推仅为在本次核查的四舍五入假设下的数学点估计和区间。2021至2023年的利润分母为披露利润总额绝对值，不能由此确定正负号。未提供完整年报及税务资料，不能恢复精确报表金额或真实净利润。</w:t>
      </w:r>
    </w:p>
    <w:p>
      <w:r>
        <w:t>依据及理由  L041 P15、P18。参见金额核查表R01至R08。即使假定唯一调整，利润总额仍须分别考虑正负分支；本报告不作真实报表重述。</w:t>
      </w:r>
    </w:p>
    <w:p>
      <w:pPr>
        <w:pStyle w:val="Heading2"/>
      </w:pPr>
      <w:r>
        <w:t>S05</w:t>
      </w:r>
    </w:p>
    <w:p>
      <w:r>
        <w:t>原文  2021至2023年每年均由北京中广阳、博铭锐创、汉诺睿雅三家子公司共同虚构营销业务，所列虚增营收和利润可以相加成为诈骗损失。</w:t>
      </w:r>
    </w:p>
    <w:p>
      <w:r>
        <w:t>修改后  决定将北京中广阳2021至2023年虚构服务业务，与博铭锐创、汉诺睿雅2022年虚构营销业务分别叙述。年度虚增营业收入和虚增利润总额按各自指标列示；它们不能相加成为诈骗或公司损失。</w:t>
      </w:r>
    </w:p>
    <w:p>
      <w:r>
        <w:t>依据及理由  L041 P18。年度金额未分摊到三家子公司；不凭汇总数字量化单人或单子公司贡献。</w:t>
      </w:r>
    </w:p>
    <w:p>
      <w:pPr>
        <w:pStyle w:val="Heading2"/>
      </w:pPr>
      <w:r>
        <w:t>S06</w:t>
      </w:r>
    </w:p>
    <w:p>
      <w:r>
        <w:t>原文  金铉玉、朱文龙、肖自然、曹放、包笠、任希宁、王能海、王北均为2020至2023年直接负责的主管人员，均签署全部年度报告。</w:t>
      </w:r>
    </w:p>
    <w:p>
      <w:r>
        <w:t>修改后  决定对2020年事项将包笠认定为其他直接责任人员。对2021至2023年事项将金铉玉、朱文龙、肖自然、曹放认定为直接负责的主管人员，任希宁、王能海、王北为其他直接责任人员。具体年度和签字范围按责任台账逐人对应；任希宁、王北的认定基于参与行为，决定未称二人签署年报。</w:t>
      </w:r>
    </w:p>
    <w:p>
      <w:r>
        <w:t>依据及理由  L041 P16、P19–P25、P27–P28。法定角色、任职、签字及参与路径分别记录，不能由任期推定全部责任。</w:t>
      </w:r>
    </w:p>
    <w:p>
      <w:pPr>
        <w:pStyle w:val="Heading2"/>
      </w:pPr>
      <w:r>
        <w:t>S07</w:t>
      </w:r>
    </w:p>
    <w:p>
      <w:r>
        <w:t>原文  肖自然不知情、曹放被动任职、王能海履职受限及王北无划款权限已被确认，故四人依法免责；其余申辩也全部获采纳。</w:t>
      </w:r>
    </w:p>
    <w:p>
      <w:r>
        <w:t>修改后  监管已确认肖自然不知情、曹放被动任职、王能海履职受限、王北无划款权限，四人当然免除全部信息披露责任，委员会无需进一步核查勤勉或参与路径。</w:t>
      </w:r>
    </w:p>
    <w:p>
      <w:r>
        <w:t>依据及理由  L041 P29–P38。可以提出有依据的进一步核查或不同分析，但不得改写公开决定结论。</w:t>
      </w:r>
    </w:p>
    <w:p>
      <w:pPr>
        <w:pStyle w:val="Heading2"/>
      </w:pPr>
      <w:r>
        <w:t>S08</w:t>
      </w:r>
    </w:p>
    <w:p>
      <w:r>
        <w:t>原文  任希宁是北京中广阳总经理，王北是财务总监，二人2023年报签字说明其共同导致2023年虚假记载。</w:t>
      </w:r>
    </w:p>
    <w:p>
      <w:r>
        <w:t>修改后  任希宁时任北京至谋总经理，参与的是北京中广阳2022至2023年案涉行为。王北时任业务总监，参与博铭锐创、汉诺睿雅2022年事项。决定没有记载二人签署年报，亦未把王北认定为2023年责任人员。</w:t>
      </w:r>
    </w:p>
    <w:p>
      <w:r>
        <w:t>依据及理由  L041 P23、P25、P36、P38。岗位主体与行为主体、年度与签字证据不能混写。</w:t>
      </w:r>
    </w:p>
    <w:p>
      <w:pPr>
        <w:pStyle w:val="Heading2"/>
      </w:pPr>
      <w:r>
        <w:t>S09</w:t>
      </w:r>
    </w:p>
    <w:p>
      <w:r>
        <w:t>原文  王能海未参加听证，也未提交陈述申辩，处罚程序只覆盖其余七人。</w:t>
      </w:r>
    </w:p>
    <w:p>
      <w:r>
        <w:t>修改后  决定记载其余七人要求并参加听证，王能海未要求听证，但进行了陈述和申辩。不能据此自行认定处罚程序违法或未覆盖王能海。</w:t>
      </w:r>
    </w:p>
    <w:p>
      <w:r>
        <w:t>依据及理由  L041 P12、P29、P37。程序事实按公开文本记录。缺送达、听证记录，不能全面复核程序合法性。</w:t>
      </w:r>
    </w:p>
    <w:p>
      <w:pPr>
        <w:pStyle w:val="Heading2"/>
      </w:pPr>
      <w:r>
        <w:t>S10</w:t>
      </w:r>
    </w:p>
    <w:p>
      <w:r>
        <w:t>原文  本决定对八人均处300万元罚款，另对公司和李某本次各处相同罚款；所有人均三年不得买卖股票。</w:t>
      </w:r>
    </w:p>
    <w:p>
      <w:r>
        <w:t>修改后  本决定均给予八人警告，个人罚款分别为金铉玉、朱文龙各300万元，肖自然、曹放、包笠各150万元，任希宁100万元，王能海、王北各50万元，合计1,250万元。决定记载前期已对公司和李某作出行政处罚，本决定未提供其金额。三年禁入仅适用于金铉玉、朱文龙，限制范围是决定所列业务和发行人董监高任职，不能改写成八人一律不得买卖股票。</w:t>
      </w:r>
    </w:p>
    <w:p>
      <w:r>
        <w:t>依据及理由  L041 P12、P40–P44。行政处罚与禁入对象和内容分别核对，本文不另行测算法定罚款。</w:t>
      </w:r>
    </w:p>
    <w:p>
      <w:pPr>
        <w:pStyle w:val="Heading2"/>
      </w:pPr>
      <w:r>
        <w:t>S11</w:t>
      </w:r>
    </w:p>
    <w:p>
      <w:r>
        <w:t>原文  禁入自网页发文日期起至三周年届满；罚款、复议、诉讼的截止日也从该日计算，复议期间全部停止执行。</w:t>
      </w:r>
    </w:p>
    <w:p>
      <w:r>
        <w:t>修改后  禁入自证监会宣布决定之日起计算。缴纳罚款、申请复议、直接起诉分别以收到处罚决定书为起算事件，期限分别为15日、60日、6个月。复议和诉讼期间决定不停止执行。材料不含实际宣布、收件和送达日期，故只能记录触发条件及待核验文件，不能填写具体截止日或届满日。</w:t>
      </w:r>
    </w:p>
    <w:p>
      <w:r>
        <w:t>依据及理由  L041 P44–P45。网页时间、宣布日期和收到日期有不同用途。须索取宣布、送达或收件凭证后才能计算。</w:t>
      </w:r>
    </w:p>
    <w:p>
      <w:pPr>
        <w:pStyle w:val="Heading2"/>
      </w:pPr>
      <w:r>
        <w:t>S12</w:t>
      </w:r>
    </w:p>
    <w:p>
      <w:r>
        <w:t>原文  公开决定已证明八人构成刑事诈骗；本部门可以按照三项虚增总额直接向每个人分摊索赔。</w:t>
      </w:r>
    </w:p>
    <w:p>
      <w:r>
        <w:t>修改后  本报告记录行政决定的认定与处理。材料不能支撑刑事定罪、民事损失或各人的赔偿分摊。建议先针对责任台账所列事实获取底层证据、岗位权限与履职记录；如需另作刑事或民事分析，须单列委托、适用规则和证明材料。</w:t>
      </w:r>
    </w:p>
    <w:p>
      <w:r>
        <w:t>依据及理由  L041 P26–P28、P39–P44。不扩大专业结论；补证计划应对应具体争点与实际记录。</w:t>
      </w:r>
    </w:p>
    <w:p>
      <w:pPr>
        <w:pStyle w:val="Heading1"/>
      </w:pPr>
      <w:r>
        <w:t>后续核查行动</w:t>
      </w:r>
    </w:p>
    <w:p>
      <w:r>
        <w:t>优先取得2020年赠与交易审议和关联关系识别资料，对应P15、P16、P35；取得北京中广阳业务单据、回款匹配及划款指令，对应P18、P19、P20、P23、P31、P32、P36；取得博铭锐创、汉诺睿雅单据和资金循环记录，对应P25、P38。每份材料须注明来源、期间和可支持的命题，不能因监管已列证据类型即宣称内容已验证。</w:t>
      </w:r>
    </w:p>
    <w:p>
      <w:r>
        <w:t>对未勤勉相关责任，取得董事会质询、年报审阅、风险提示、信息请求和异议记录，逐人与任期和签字年度对应。责任台账中的八人补证建议属于核查计划，不是新的反证或免责结论。对肖自然、曹放、王能海等可继续评估具体履职证据；合理不同分析须说明哪一公开命题尚需补证，不得改写监管的已披露结果。</w:t>
      </w:r>
    </w:p>
    <w:p>
      <w:r>
        <w:t>另索取宣布决定记录以及各人收到处罚决定书的凭证，分别确定禁入起算和缴款、救济起算。暂不填写截止日；仅记录15日、60日和6个月及各自触发事件。公司和李某的前期处罚应另取对应决定再行核查，不能沿用本决定八人处罚金额。</w:t>
      </w:r>
    </w:p>
    <w:sectPr w:rsidR="00FC693F" w:rsidRPr="0006063C" w:rsidSect="00034616"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九有信息披露处罚决定内部核查审改报告</dc:title>
  <dc:subject>公开决定文本及金额核查</dc:subject>
  <dc:creator>法律顾问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