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F33A1D" w:rsidRPr="00F92C4A" w:rsidRDefault="00F33A1D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F33A1D" w:rsidRPr="00F92C4A" w:rsidRDefault="00F33A1D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F33A1D" w:rsidRPr="00F92C4A" w:rsidRDefault="00F33A1D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9B45FC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F33A1D" w:rsidRPr="001A207F" w:rsidRDefault="00F33A1D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</w:t>
      </w: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043349">
        <w:trPr>
          <w:trHeight w:val="1134"/>
        </w:trPr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B309CC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B309CC" w:rsidRPr="00B309C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=(365-105-13)*0.02=5</w:t>
      </w:r>
    </w:p>
    <w:p w:rsidR="00B309CC" w:rsidRPr="00B309CC" w:rsidRDefault="00B309CC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C22E61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EF07A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(1733)*15=25995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612B1C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EF07A7" w:rsidRPr="00043349">
        <w:rPr>
          <w:rFonts w:ascii="Times New Roman" w:hAnsi="Times New Roman" w:cs="Times New Roman"/>
          <w:sz w:val="24"/>
          <w:szCs w:val="24"/>
        </w:rPr>
        <w:t>(7500/168)=44</w:t>
      </w:r>
      <w:r w:rsidR="00612B1C">
        <w:rPr>
          <w:rFonts w:ascii="Times New Roman" w:hAnsi="Times New Roman" w:cs="Times New Roman"/>
          <w:sz w:val="24"/>
          <w:szCs w:val="24"/>
        </w:rPr>
        <w:t>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53.5</w:t>
            </w:r>
          </w:p>
        </w:tc>
        <w:tc>
          <w:tcPr>
            <w:tcW w:w="993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60.2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80.2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F33A1D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F33A1D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F33A1D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F33A1D" w:rsidRPr="00F33A1D">
        <w:rPr>
          <w:sz w:val="24"/>
          <w:szCs w:val="24"/>
        </w:rPr>
        <w:t>68.6</w:t>
      </w:r>
      <w:r w:rsidR="00F33A1D">
        <w:rPr>
          <w:sz w:val="24"/>
          <w:szCs w:val="24"/>
        </w:rPr>
        <w:t>х168=</w:t>
      </w:r>
      <w:r w:rsidR="00D92951">
        <w:rPr>
          <w:sz w:val="24"/>
          <w:szCs w:val="24"/>
        </w:rPr>
        <w:t>11524,8</w:t>
      </w:r>
    </w:p>
    <w:p w:rsidR="001F2DDE" w:rsidRPr="00F33A1D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="00F33A1D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</w:t>
      </w:r>
      <w:r w:rsidR="00F33A1D">
        <w:rPr>
          <w:rStyle w:val="aff9"/>
          <w:b w:val="0"/>
          <w:sz w:val="24"/>
          <w:szCs w:val="24"/>
        </w:rPr>
        <w:t>.(4</w:t>
      </w:r>
      <w:r w:rsidRPr="001F2DDE">
        <w:rPr>
          <w:rStyle w:val="aff9"/>
          <w:b w:val="0"/>
          <w:sz w:val="24"/>
          <w:szCs w:val="24"/>
        </w:rPr>
        <w:t xml:space="preserve"> раз) =</w:t>
      </w:r>
      <w:r w:rsidR="00D92951">
        <w:rPr>
          <w:rStyle w:val="aff9"/>
          <w:b w:val="0"/>
          <w:sz w:val="24"/>
          <w:szCs w:val="24"/>
        </w:rPr>
        <w:t>60,2х168=10113,6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F33A1D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  <w:r w:rsidR="00321BF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D92951" w:rsidRPr="00F33A1D" w:rsidRDefault="001F2DDE" w:rsidP="00D929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D92951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D92951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D92951">
        <w:rPr>
          <w:rFonts w:ascii="Times New Roman" w:hAnsi="Times New Roman" w:cs="Times New Roman"/>
          <w:sz w:val="24"/>
          <w:szCs w:val="24"/>
        </w:rPr>
        <w:t xml:space="preserve">  х30</w:t>
      </w:r>
      <w:r w:rsidR="00237D2B">
        <w:rPr>
          <w:rFonts w:ascii="Times New Roman" w:hAnsi="Times New Roman" w:cs="Times New Roman"/>
          <w:sz w:val="24"/>
          <w:szCs w:val="24"/>
        </w:rPr>
        <w:t>%</w:t>
      </w:r>
      <w:r w:rsidR="00D92951" w:rsidRPr="001F2DDE">
        <w:rPr>
          <w:rFonts w:ascii="Times New Roman" w:hAnsi="Times New Roman" w:cs="Times New Roman"/>
          <w:sz w:val="24"/>
          <w:szCs w:val="24"/>
        </w:rPr>
        <w:t>/ 100%</w:t>
      </w:r>
      <w:r w:rsidR="00D9295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EB0E2B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DDE" w:rsidRPr="00EB0E2B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Pr="001F2DDE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ектрик.(4</w:t>
      </w:r>
      <w:r w:rsidRPr="001F2DDE">
        <w:rPr>
          <w:rStyle w:val="aff9"/>
          <w:b w:val="0"/>
          <w:sz w:val="24"/>
          <w:szCs w:val="24"/>
        </w:rPr>
        <w:t xml:space="preserve"> раз) = </w:t>
      </w:r>
      <w:r w:rsidR="00EB0E2B" w:rsidRPr="00EB0E2B">
        <w:rPr>
          <w:rStyle w:val="aff9"/>
          <w:b w:val="0"/>
          <w:sz w:val="24"/>
          <w:szCs w:val="24"/>
        </w:rPr>
        <w:t>68.6</w:t>
      </w:r>
    </w:p>
    <w:p w:rsidR="003D3D15" w:rsidRPr="001F2DDE" w:rsidRDefault="00D92951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электромехан</w:t>
      </w:r>
      <w:proofErr w:type="spellEnd"/>
      <w:r>
        <w:rPr>
          <w:rFonts w:ascii="Times New Roman" w:hAnsi="Times New Roman" w:cs="Times New Roman"/>
          <w:sz w:val="24"/>
          <w:szCs w:val="24"/>
        </w:rPr>
        <w:t>.(5</w:t>
      </w:r>
      <w:r w:rsidR="003D3D15" w:rsidRPr="001F2DDE">
        <w:rPr>
          <w:rFonts w:ascii="Times New Roman" w:hAnsi="Times New Roman" w:cs="Times New Roman"/>
          <w:sz w:val="24"/>
          <w:szCs w:val="24"/>
        </w:rPr>
        <w:t xml:space="preserve"> раз)= </w:t>
      </w:r>
      <w:r>
        <w:rPr>
          <w:rFonts w:ascii="Times New Roman" w:hAnsi="Times New Roman" w:cs="Times New Roman"/>
          <w:sz w:val="24"/>
          <w:szCs w:val="24"/>
        </w:rPr>
        <w:t>11524,2*30/100=</w:t>
      </w:r>
      <w:r w:rsidR="00237D2B">
        <w:rPr>
          <w:rFonts w:ascii="Times New Roman" w:hAnsi="Times New Roman" w:cs="Times New Roman"/>
          <w:sz w:val="24"/>
          <w:szCs w:val="24"/>
        </w:rPr>
        <w:t>3457,26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r w:rsidR="00D92951">
        <w:rPr>
          <w:rStyle w:val="aff9"/>
          <w:rFonts w:ascii="Times New Roman" w:hAnsi="Times New Roman" w:cs="Times New Roman"/>
          <w:b w:val="0"/>
          <w:sz w:val="24"/>
          <w:szCs w:val="24"/>
        </w:rPr>
        <w:t>электрик.(4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раз)= </w:t>
      </w:r>
      <w:r w:rsidR="00237D2B">
        <w:rPr>
          <w:rStyle w:val="aff9"/>
          <w:rFonts w:ascii="Times New Roman" w:hAnsi="Times New Roman" w:cs="Times New Roman"/>
          <w:b w:val="0"/>
          <w:sz w:val="24"/>
          <w:szCs w:val="24"/>
        </w:rPr>
        <w:t>10113,6*30/100=3034,08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lastRenderedPageBreak/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B41E1B">
        <w:rPr>
          <w:rFonts w:ascii="Times New Roman" w:hAnsi="Times New Roman" w:cs="Times New Roman"/>
          <w:sz w:val="24"/>
          <w:szCs w:val="24"/>
        </w:rPr>
        <w:t>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</w:t>
      </w:r>
      <w:r w:rsidR="009F3713">
        <w:rPr>
          <w:rFonts w:ascii="Times New Roman" w:hAnsi="Times New Roman" w:cs="Times New Roman"/>
          <w:sz w:val="24"/>
          <w:szCs w:val="24"/>
        </w:rPr>
        <w:t xml:space="preserve"> 157772,16</w:t>
      </w:r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B41E1B">
        <w:rPr>
          <w:rFonts w:ascii="Times New Roman" w:hAnsi="Times New Roman" w:cs="Times New Roman"/>
          <w:sz w:val="24"/>
          <w:szCs w:val="24"/>
        </w:rPr>
        <w:t>ектромех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  <w:r w:rsidR="009F3713">
        <w:rPr>
          <w:rFonts w:ascii="Times New Roman" w:hAnsi="Times New Roman" w:cs="Times New Roman"/>
          <w:sz w:val="24"/>
          <w:szCs w:val="24"/>
        </w:rPr>
        <w:t>179784,16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9F3713">
        <w:rPr>
          <w:rFonts w:ascii="Times New Roman" w:hAnsi="Times New Roman" w:cs="Times New Roman"/>
          <w:sz w:val="24"/>
          <w:szCs w:val="24"/>
        </w:rPr>
        <w:t>337556,32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х1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32  000 </w:t>
      </w:r>
      <w:proofErr w:type="spellStart"/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12х1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576  000руб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 000руб</w:t>
      </w:r>
      <w:r w:rsidR="006B66F9" w:rsidRP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12х3=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1512 000руб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18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2= 648 000руб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 = 702 000руб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 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945 000руб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864 000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648 000руб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504 000руб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432 000руб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2 718 000 / 12 /3 = 75 500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4 095 000 / 12 /4 = 73 125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2 322 000 / 12 /3 = 64 500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936 000 / 12 /2 = 39 000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263 522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2"/>
        <w:gridCol w:w="1512"/>
        <w:gridCol w:w="1488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337 756</w:t>
            </w:r>
          </w:p>
        </w:tc>
        <w:tc>
          <w:tcPr>
            <w:tcW w:w="2287" w:type="dxa"/>
            <w:vAlign w:val="bottom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11 397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2 718 000</w:t>
            </w:r>
          </w:p>
        </w:tc>
        <w:tc>
          <w:tcPr>
            <w:tcW w:w="2287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6 417 000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137 625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BC3AC1" w:rsidRDefault="00BC3AC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4A54A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936 000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39 000 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4A54A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10 408 756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5 =30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2=8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22= 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=14,8</w:t>
      </w:r>
    </w:p>
    <w:p w:rsidR="00D62098" w:rsidRPr="00FA64C2" w:rsidRDefault="00D62098" w:rsidP="00D62098">
      <w:pPr>
        <w:spacing w:line="360" w:lineRule="auto"/>
        <w:ind w:firstLine="851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=37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148+14.8+37=199.8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199,8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37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1798205328740000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28 976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362 200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72440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</w:t>
      </w:r>
      <w:r w:rsidR="00C17E60">
        <w:rPr>
          <w:rStyle w:val="afff"/>
          <w:i w:val="0"/>
          <w:color w:val="000000" w:themeColor="text1"/>
          <w:sz w:val="24"/>
          <w:szCs w:val="24"/>
        </w:rPr>
        <w:t>1798205328740000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+</w:t>
      </w:r>
      <w:r w:rsidR="00C17E60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+ </w:t>
      </w:r>
      <w:r w:rsidR="00C17E60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28 976</w:t>
      </w:r>
      <w:r w:rsidR="00C17E60"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72440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C17E60">
        <w:rPr>
          <w:rStyle w:val="afff"/>
          <w:i w:val="0"/>
          <w:color w:val="000000" w:themeColor="text1"/>
          <w:sz w:val="24"/>
          <w:szCs w:val="24"/>
        </w:rPr>
        <w:t>1798205330485616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DA0D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337 556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2 718 000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BD697D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2 000 </w:t>
            </w:r>
            <w:proofErr w:type="spellStart"/>
            <w:r>
              <w:rPr>
                <w:sz w:val="24"/>
                <w:szCs w:val="24"/>
              </w:rPr>
              <w:t>000</w:t>
            </w:r>
            <w:proofErr w:type="spellEnd"/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80D1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8 145 556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6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D3D15"/>
    <w:rsid w:val="00003C0F"/>
    <w:rsid w:val="00043349"/>
    <w:rsid w:val="000733CD"/>
    <w:rsid w:val="000A11B4"/>
    <w:rsid w:val="000C3CC6"/>
    <w:rsid w:val="000F4AB4"/>
    <w:rsid w:val="00112448"/>
    <w:rsid w:val="0017445E"/>
    <w:rsid w:val="00177AC9"/>
    <w:rsid w:val="00185E94"/>
    <w:rsid w:val="001F2DDE"/>
    <w:rsid w:val="00237D2B"/>
    <w:rsid w:val="0026276A"/>
    <w:rsid w:val="00291413"/>
    <w:rsid w:val="00321BF1"/>
    <w:rsid w:val="00380D16"/>
    <w:rsid w:val="003D3D15"/>
    <w:rsid w:val="003E78FE"/>
    <w:rsid w:val="003F7D3E"/>
    <w:rsid w:val="00465293"/>
    <w:rsid w:val="00482DCB"/>
    <w:rsid w:val="004A54A6"/>
    <w:rsid w:val="005A24D1"/>
    <w:rsid w:val="005C3847"/>
    <w:rsid w:val="00612B1C"/>
    <w:rsid w:val="00643B00"/>
    <w:rsid w:val="006733BF"/>
    <w:rsid w:val="006814CE"/>
    <w:rsid w:val="00690559"/>
    <w:rsid w:val="006B66F9"/>
    <w:rsid w:val="006D7516"/>
    <w:rsid w:val="007718FF"/>
    <w:rsid w:val="00782344"/>
    <w:rsid w:val="007857AB"/>
    <w:rsid w:val="007C7B91"/>
    <w:rsid w:val="00815AB9"/>
    <w:rsid w:val="00877A60"/>
    <w:rsid w:val="008F4DEE"/>
    <w:rsid w:val="009150E6"/>
    <w:rsid w:val="009B45FC"/>
    <w:rsid w:val="009C42D1"/>
    <w:rsid w:val="009D0D70"/>
    <w:rsid w:val="009F3713"/>
    <w:rsid w:val="00A75AB6"/>
    <w:rsid w:val="00AA52E9"/>
    <w:rsid w:val="00AB2CC3"/>
    <w:rsid w:val="00AC7635"/>
    <w:rsid w:val="00B250B4"/>
    <w:rsid w:val="00B309CC"/>
    <w:rsid w:val="00B41E1B"/>
    <w:rsid w:val="00B71E87"/>
    <w:rsid w:val="00B947E7"/>
    <w:rsid w:val="00BC3AC1"/>
    <w:rsid w:val="00BD18BC"/>
    <w:rsid w:val="00BD20F2"/>
    <w:rsid w:val="00BD59D4"/>
    <w:rsid w:val="00BD697D"/>
    <w:rsid w:val="00C17E60"/>
    <w:rsid w:val="00C22E61"/>
    <w:rsid w:val="00C8182B"/>
    <w:rsid w:val="00D62098"/>
    <w:rsid w:val="00D92951"/>
    <w:rsid w:val="00DA0D3B"/>
    <w:rsid w:val="00DB4B79"/>
    <w:rsid w:val="00DD0089"/>
    <w:rsid w:val="00E553D7"/>
    <w:rsid w:val="00E65CB4"/>
    <w:rsid w:val="00E80228"/>
    <w:rsid w:val="00EB0E2B"/>
    <w:rsid w:val="00EF07A7"/>
    <w:rsid w:val="00F33A1D"/>
    <w:rsid w:val="00F3504B"/>
    <w:rsid w:val="00F50E25"/>
    <w:rsid w:val="00FA64C2"/>
    <w:rsid w:val="00FA6F3F"/>
    <w:rsid w:val="00F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30"/>
        <o:r id="V:Rule15" type="connector" idref="#_x0000_s1038"/>
        <o:r id="V:Rule16" type="connector" idref="#_x0000_s1028"/>
        <o:r id="V:Rule17" type="connector" idref="#_x0000_s1039"/>
        <o:r id="V:Rule18" type="connector" idref="#_x0000_s1048"/>
        <o:r id="V:Rule19" type="connector" idref="#_x0000_s1029"/>
        <o:r id="V:Rule20" type="connector" idref="#_x0000_s1049"/>
        <o:r id="V:Rule21" type="connector" idref="#_x0000_s1037"/>
        <o:r id="V:Rule22" type="connector" idref="#_x0000_s1047"/>
        <o:r id="V:Rule23" type="connector" idref="#_x0000_s1045"/>
        <o:r id="V:Rule24" type="connector" idref="#_x0000_s1050"/>
        <o:r id="V:Rule25" type="connector" idref="#_x0000_s1046"/>
        <o:r id="V:Rule2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ar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1F686-E223-49F2-9F3F-C0CCC984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29</Pages>
  <Words>4813</Words>
  <Characters>27440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2</cp:revision>
  <dcterms:created xsi:type="dcterms:W3CDTF">2017-02-27T14:34:00Z</dcterms:created>
  <dcterms:modified xsi:type="dcterms:W3CDTF">2017-02-27T14:34:00Z</dcterms:modified>
</cp:coreProperties>
</file>