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775" w:type="dxa"/>
        <w:tblLayout w:type="fixed"/>
        <w:tblLook w:val="04A0" w:firstRow="1" w:lastRow="0" w:firstColumn="1" w:lastColumn="0" w:noHBand="0" w:noVBand="1"/>
      </w:tblPr>
      <w:tblGrid>
        <w:gridCol w:w="1331"/>
        <w:gridCol w:w="1454"/>
        <w:gridCol w:w="1440"/>
        <w:gridCol w:w="1350"/>
        <w:gridCol w:w="1260"/>
        <w:gridCol w:w="1260"/>
        <w:gridCol w:w="1260"/>
        <w:gridCol w:w="1260"/>
        <w:gridCol w:w="2160"/>
      </w:tblGrid>
      <w:tr w:rsidR="003A6C6D" w:rsidTr="003A6C6D">
        <w:trPr>
          <w:trHeight w:val="710"/>
        </w:trPr>
        <w:tc>
          <w:tcPr>
            <w:tcW w:w="1331" w:type="dxa"/>
          </w:tcPr>
          <w:p w:rsidR="003A6C6D" w:rsidRDefault="003A6C6D" w:rsidP="0043243A"/>
        </w:tc>
        <w:tc>
          <w:tcPr>
            <w:tcW w:w="1454" w:type="dxa"/>
          </w:tcPr>
          <w:p w:rsidR="003A6C6D" w:rsidRPr="008B2B40" w:rsidRDefault="003A6C6D" w:rsidP="0043243A">
            <w:r>
              <w:t>Visualizations</w:t>
            </w:r>
          </w:p>
        </w:tc>
        <w:tc>
          <w:tcPr>
            <w:tcW w:w="1440" w:type="dxa"/>
          </w:tcPr>
          <w:p w:rsidR="003A6C6D" w:rsidRDefault="003A6C6D" w:rsidP="0043243A">
            <w:r>
              <w:t>Advanced analytics</w:t>
            </w:r>
          </w:p>
        </w:tc>
        <w:tc>
          <w:tcPr>
            <w:tcW w:w="1350" w:type="dxa"/>
          </w:tcPr>
          <w:p w:rsidR="003A6C6D" w:rsidRDefault="003A6C6D" w:rsidP="0043243A">
            <w:r>
              <w:t>Cloud Support</w:t>
            </w:r>
          </w:p>
        </w:tc>
        <w:tc>
          <w:tcPr>
            <w:tcW w:w="1260" w:type="dxa"/>
          </w:tcPr>
          <w:p w:rsidR="003A6C6D" w:rsidRPr="008B2B40" w:rsidRDefault="003A6C6D" w:rsidP="0043243A">
            <w:r>
              <w:t xml:space="preserve">Big </w:t>
            </w:r>
            <w:bookmarkStart w:id="0" w:name="_GoBack"/>
            <w:bookmarkEnd w:id="0"/>
            <w:r>
              <w:t>Data</w:t>
            </w:r>
          </w:p>
        </w:tc>
        <w:tc>
          <w:tcPr>
            <w:tcW w:w="1260" w:type="dxa"/>
          </w:tcPr>
          <w:p w:rsidR="003A6C6D" w:rsidRDefault="003A6C6D" w:rsidP="0043243A">
            <w:r>
              <w:t>Data Querying</w:t>
            </w:r>
          </w:p>
        </w:tc>
        <w:tc>
          <w:tcPr>
            <w:tcW w:w="1260" w:type="dxa"/>
          </w:tcPr>
          <w:p w:rsidR="003A6C6D" w:rsidRDefault="003A6C6D" w:rsidP="0043243A">
            <w:r>
              <w:t>Data Security</w:t>
            </w:r>
          </w:p>
        </w:tc>
        <w:tc>
          <w:tcPr>
            <w:tcW w:w="1260" w:type="dxa"/>
          </w:tcPr>
          <w:p w:rsidR="003A6C6D" w:rsidRDefault="003A6C6D" w:rsidP="0043243A">
            <w:r>
              <w:t>Drag Drop</w:t>
            </w:r>
          </w:p>
        </w:tc>
        <w:tc>
          <w:tcPr>
            <w:tcW w:w="2160" w:type="dxa"/>
          </w:tcPr>
          <w:p w:rsidR="003A6C6D" w:rsidRDefault="003A6C6D" w:rsidP="0043243A">
            <w:r>
              <w:t>Data Governance</w:t>
            </w:r>
          </w:p>
        </w:tc>
      </w:tr>
      <w:tr w:rsidR="003A6C6D" w:rsidTr="003A6C6D">
        <w:tc>
          <w:tcPr>
            <w:tcW w:w="1331" w:type="dxa"/>
          </w:tcPr>
          <w:p w:rsidR="003A6C6D" w:rsidRDefault="003A6C6D" w:rsidP="0043243A">
            <w:r>
              <w:t>Power BI</w:t>
            </w:r>
          </w:p>
        </w:tc>
        <w:tc>
          <w:tcPr>
            <w:tcW w:w="1454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44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35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26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26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26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26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2160" w:type="dxa"/>
          </w:tcPr>
          <w:p w:rsidR="003A6C6D" w:rsidRDefault="003A6C6D" w:rsidP="0043243A">
            <w:r>
              <w:sym w:font="Wingdings 2" w:char="F050"/>
            </w:r>
          </w:p>
        </w:tc>
      </w:tr>
      <w:tr w:rsidR="003A6C6D" w:rsidTr="003A6C6D">
        <w:tc>
          <w:tcPr>
            <w:tcW w:w="1331" w:type="dxa"/>
          </w:tcPr>
          <w:p w:rsidR="003A6C6D" w:rsidRDefault="003A6C6D" w:rsidP="0043243A">
            <w:r>
              <w:t>Tableau</w:t>
            </w:r>
          </w:p>
        </w:tc>
        <w:tc>
          <w:tcPr>
            <w:tcW w:w="1454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44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35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26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26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26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26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2160" w:type="dxa"/>
          </w:tcPr>
          <w:p w:rsidR="003A6C6D" w:rsidRDefault="003A6C6D" w:rsidP="0043243A">
            <w:r>
              <w:sym w:font="Wingdings 2" w:char="F050"/>
            </w:r>
          </w:p>
        </w:tc>
      </w:tr>
      <w:tr w:rsidR="003A6C6D" w:rsidTr="003A6C6D">
        <w:tc>
          <w:tcPr>
            <w:tcW w:w="1331" w:type="dxa"/>
          </w:tcPr>
          <w:p w:rsidR="003A6C6D" w:rsidRDefault="003A6C6D" w:rsidP="0043243A">
            <w:proofErr w:type="spellStart"/>
            <w:r>
              <w:t>Qlik</w:t>
            </w:r>
            <w:proofErr w:type="spellEnd"/>
            <w:r>
              <w:t xml:space="preserve"> Sense</w:t>
            </w:r>
          </w:p>
        </w:tc>
        <w:tc>
          <w:tcPr>
            <w:tcW w:w="1454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44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35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26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26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26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26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2160" w:type="dxa"/>
          </w:tcPr>
          <w:p w:rsidR="003A6C6D" w:rsidRDefault="003A6C6D" w:rsidP="0043243A">
            <w:r>
              <w:sym w:font="Wingdings 2" w:char="F050"/>
            </w:r>
          </w:p>
        </w:tc>
      </w:tr>
      <w:tr w:rsidR="003A6C6D" w:rsidTr="003A6C6D">
        <w:tc>
          <w:tcPr>
            <w:tcW w:w="1331" w:type="dxa"/>
          </w:tcPr>
          <w:p w:rsidR="003A6C6D" w:rsidRDefault="003A6C6D" w:rsidP="0043243A">
            <w:proofErr w:type="spellStart"/>
            <w:r>
              <w:t>Trifacta</w:t>
            </w:r>
            <w:proofErr w:type="spellEnd"/>
            <w:r>
              <w:t xml:space="preserve"> Wrangler Enterprise</w:t>
            </w:r>
          </w:p>
        </w:tc>
        <w:tc>
          <w:tcPr>
            <w:tcW w:w="1454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44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35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26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260" w:type="dxa"/>
          </w:tcPr>
          <w:p w:rsidR="003A6C6D" w:rsidRDefault="003A6C6D" w:rsidP="0043243A"/>
        </w:tc>
        <w:tc>
          <w:tcPr>
            <w:tcW w:w="126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26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2160" w:type="dxa"/>
          </w:tcPr>
          <w:p w:rsidR="003A6C6D" w:rsidRDefault="003A6C6D" w:rsidP="0043243A">
            <w:r>
              <w:sym w:font="Wingdings 2" w:char="F050"/>
            </w:r>
          </w:p>
        </w:tc>
      </w:tr>
      <w:tr w:rsidR="003A6C6D" w:rsidTr="003A6C6D">
        <w:tc>
          <w:tcPr>
            <w:tcW w:w="1331" w:type="dxa"/>
          </w:tcPr>
          <w:p w:rsidR="003A6C6D" w:rsidRDefault="003A6C6D" w:rsidP="0043243A">
            <w:proofErr w:type="spellStart"/>
            <w:r>
              <w:t>Talend</w:t>
            </w:r>
            <w:proofErr w:type="spellEnd"/>
            <w:r>
              <w:t xml:space="preserve"> Data Preparation</w:t>
            </w:r>
          </w:p>
        </w:tc>
        <w:tc>
          <w:tcPr>
            <w:tcW w:w="1454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44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35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26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26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26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1260" w:type="dxa"/>
          </w:tcPr>
          <w:p w:rsidR="003A6C6D" w:rsidRDefault="003A6C6D" w:rsidP="0043243A">
            <w:r>
              <w:sym w:font="Wingdings 2" w:char="F050"/>
            </w:r>
          </w:p>
        </w:tc>
        <w:tc>
          <w:tcPr>
            <w:tcW w:w="2160" w:type="dxa"/>
          </w:tcPr>
          <w:p w:rsidR="003A6C6D" w:rsidRDefault="003A6C6D" w:rsidP="0043243A">
            <w:r>
              <w:sym w:font="Wingdings 2" w:char="F050"/>
            </w:r>
          </w:p>
        </w:tc>
      </w:tr>
    </w:tbl>
    <w:p w:rsidR="00323927" w:rsidRDefault="00323927"/>
    <w:sectPr w:rsidR="00323927" w:rsidSect="003A6C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74"/>
    <w:rsid w:val="00063B74"/>
    <w:rsid w:val="00323927"/>
    <w:rsid w:val="003A6C6D"/>
    <w:rsid w:val="006965CA"/>
    <w:rsid w:val="00A4647F"/>
    <w:rsid w:val="00CE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84CC"/>
  <w15:chartTrackingRefBased/>
  <w15:docId w15:val="{DB88FF75-BB0B-4F25-BEED-35A503DF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8A332-7240-40B4-916B-4F7EFFDCE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Nida</dc:creator>
  <cp:keywords/>
  <dc:description/>
  <cp:lastModifiedBy>admin</cp:lastModifiedBy>
  <cp:revision>2</cp:revision>
  <dcterms:created xsi:type="dcterms:W3CDTF">2021-02-22T17:24:00Z</dcterms:created>
  <dcterms:modified xsi:type="dcterms:W3CDTF">2021-02-22T17:24:00Z</dcterms:modified>
</cp:coreProperties>
</file>