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настроить рабочую среды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Установка(рис. 1).</w:t>
      </w:r>
    </w:p>
    <w:p>
      <w:pPr>
        <w:pStyle w:val="CaptionedFigure"/>
      </w:pPr>
      <w:r>
        <w:drawing>
          <wp:inline>
            <wp:extent cx="3733800" cy="2282994"/>
            <wp:effectExtent b="0" l="0" r="0" t="0"/>
            <wp:docPr descr="Установк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Установка gopass(рис. 2).</w:t>
      </w:r>
    </w:p>
    <w:p>
      <w:pPr>
        <w:pStyle w:val="CaptionedFigure"/>
      </w:pPr>
      <w:r>
        <w:drawing>
          <wp:inline>
            <wp:extent cx="3733800" cy="1167312"/>
            <wp:effectExtent b="0" l="0" r="0" t="0"/>
            <wp:docPr descr="Установк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</w:t>
      </w:r>
    </w:p>
    <w:p>
      <w:pPr>
        <w:pStyle w:val="BodyText"/>
      </w:pPr>
      <w:r>
        <w:t xml:space="preserve">Просмотр списка ключей(рис. 3).</w:t>
      </w:r>
    </w:p>
    <w:p>
      <w:pPr>
        <w:pStyle w:val="CaptionedFigure"/>
      </w:pPr>
      <w:r>
        <w:drawing>
          <wp:inline>
            <wp:extent cx="3733800" cy="1255329"/>
            <wp:effectExtent b="0" l="0" r="0" t="0"/>
            <wp:docPr descr="Просмотр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</w:t>
      </w:r>
    </w:p>
    <w:p>
      <w:pPr>
        <w:pStyle w:val="BodyText"/>
      </w:pPr>
      <w:r>
        <w:t xml:space="preserve">Инициализация хранилища(рис. 4).</w:t>
      </w:r>
    </w:p>
    <w:p>
      <w:pPr>
        <w:pStyle w:val="CaptionedFigure"/>
      </w:pPr>
      <w:r>
        <w:drawing>
          <wp:inline>
            <wp:extent cx="3733800" cy="640495"/>
            <wp:effectExtent b="0" l="0" r="0" t="0"/>
            <wp:docPr descr="Хранилище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Хранилище</w:t>
      </w:r>
    </w:p>
    <w:p>
      <w:pPr>
        <w:pStyle w:val="BodyText"/>
      </w:pPr>
      <w:r>
        <w:t xml:space="preserve">Синхронизация(рис. 5).</w:t>
      </w:r>
    </w:p>
    <w:p>
      <w:pPr>
        <w:pStyle w:val="CaptionedFigure"/>
      </w:pPr>
      <w:r>
        <w:drawing>
          <wp:inline>
            <wp:extent cx="3733800" cy="1497699"/>
            <wp:effectExtent b="0" l="0" r="0" t="0"/>
            <wp:docPr descr="Синхранизация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Синхранизация</w:t>
      </w:r>
    </w:p>
    <w:p>
      <w:pPr>
        <w:pStyle w:val="BodyText"/>
      </w:pPr>
      <w:r>
        <w:t xml:space="preserve">Прямые изменения(рис. 6).</w:t>
      </w:r>
    </w:p>
    <w:p>
      <w:pPr>
        <w:pStyle w:val="CaptionedFigure"/>
      </w:pPr>
      <w:r>
        <w:drawing>
          <wp:inline>
            <wp:extent cx="3733800" cy="1899652"/>
            <wp:effectExtent b="0" l="0" r="0" t="0"/>
            <wp:docPr descr="Изменени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Изменения</w:t>
      </w:r>
    </w:p>
    <w:p>
      <w:pPr>
        <w:pStyle w:val="BodyText"/>
      </w:pPr>
      <w:r>
        <w:t xml:space="preserve">Добавляем в файл конфигурацию(рис. 7).</w:t>
      </w:r>
    </w:p>
    <w:p>
      <w:pPr>
        <w:pStyle w:val="CaptionedFigure"/>
      </w:pPr>
      <w:r>
        <w:drawing>
          <wp:inline>
            <wp:extent cx="3733800" cy="1220315"/>
            <wp:effectExtent b="0" l="0" r="0" t="0"/>
            <wp:docPr descr="Добавление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начуились настраивать рабочую среду.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рабочей среды</dc:title>
  <dc:creator>Хохлачёва Полина Дмитриевна</dc:creator>
  <dc:language>ru-RU</dc:language>
  <cp:keywords/>
  <dcterms:created xsi:type="dcterms:W3CDTF">2025-03-15T17:44:04Z</dcterms:created>
  <dcterms:modified xsi:type="dcterms:W3CDTF">2025-03-15T17:44:04Z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5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