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SELinux</w:t>
      </w:r>
    </w:p>
    <w:p>
      <w:pPr>
        <w:pStyle w:val="Author"/>
      </w:pPr>
      <w:r>
        <w:t xml:space="preserve">Хохлачёва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5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администратора, смотрим текущую информацию о состоянии, изменение режим работы(рис. 1).</w:t>
      </w:r>
    </w:p>
    <w:p>
      <w:pPr>
        <w:pStyle w:val="CaptionedFigure"/>
      </w:pPr>
      <w:r>
        <w:drawing>
          <wp:inline>
            <wp:extent cx="3733800" cy="4006056"/>
            <wp:effectExtent b="0" l="0" r="0" t="0"/>
            <wp:docPr descr="Просмотр,изменения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6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Просмотр,изменения</w:t>
      </w:r>
    </w:p>
    <w:p>
      <w:pPr>
        <w:pStyle w:val="BodyText"/>
      </w:pPr>
      <w:r>
        <w:t xml:space="preserve">Установка с помощью редактора(рис. 2).</w:t>
      </w:r>
    </w:p>
    <w:p>
      <w:pPr>
        <w:pStyle w:val="CaptionedFigure"/>
      </w:pPr>
      <w:r>
        <w:drawing>
          <wp:inline>
            <wp:extent cx="3733800" cy="2996259"/>
            <wp:effectExtent b="0" l="0" r="0" t="0"/>
            <wp:docPr descr="Установка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6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</w:t>
      </w:r>
    </w:p>
    <w:p>
      <w:pPr>
        <w:pStyle w:val="BodyText"/>
      </w:pPr>
      <w:r>
        <w:t xml:space="preserve">Получаем полномочия администратора, просматриваем контекст безопасности файла, копируем файл в домашний каталоги,переписываем существенный файл, исправляем контекст безопасности, убеждаемся в этом(рис. 3).</w:t>
      </w:r>
    </w:p>
    <w:p>
      <w:pPr>
        <w:pStyle w:val="CaptionedFigure"/>
      </w:pPr>
      <w:r>
        <w:drawing>
          <wp:inline>
            <wp:extent cx="3733800" cy="2393461"/>
            <wp:effectExtent b="0" l="0" r="0" t="0"/>
            <wp:docPr descr="Посматриваем,исправляем, убеждаемся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Посматриваем,исправляем, убеждаемся</w:t>
      </w:r>
    </w:p>
    <w:p>
      <w:pPr>
        <w:pStyle w:val="BodyText"/>
      </w:pPr>
      <w:r>
        <w:t xml:space="preserve">Устанавливаем необходимое программное обеспечение(рис. 4).</w:t>
      </w:r>
    </w:p>
    <w:p>
      <w:pPr>
        <w:pStyle w:val="CaptionedFigure"/>
      </w:pPr>
      <w:r>
        <w:drawing>
          <wp:inline>
            <wp:extent cx="3733800" cy="4080950"/>
            <wp:effectExtent b="0" l="0" r="0" t="0"/>
            <wp:docPr descr="Устанавливаем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Устанавливаем</w:t>
      </w:r>
    </w:p>
    <w:p>
      <w:pPr>
        <w:pStyle w:val="BodyText"/>
      </w:pPr>
      <w:r>
        <w:t xml:space="preserve">Создаём новое хранилище, создаём файл в каталоге с контентом веб-сервера(рис. 5).</w:t>
      </w:r>
    </w:p>
    <w:p>
      <w:pPr>
        <w:pStyle w:val="CaptionedFigure"/>
      </w:pPr>
      <w:r>
        <w:drawing>
          <wp:inline>
            <wp:extent cx="3733800" cy="459827"/>
            <wp:effectExtent b="0" l="0" r="0" t="0"/>
            <wp:docPr descr="Создаём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9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Создаём</w:t>
      </w:r>
    </w:p>
    <w:p>
      <w:pPr>
        <w:pStyle w:val="BodyText"/>
      </w:pPr>
      <w:r>
        <w:t xml:space="preserve">Помещаем следующий текст(рис. 6).</w:t>
      </w:r>
    </w:p>
    <w:p>
      <w:pPr>
        <w:pStyle w:val="CaptionedFigure"/>
      </w:pPr>
      <w:r>
        <w:drawing>
          <wp:inline>
            <wp:extent cx="3733800" cy="525632"/>
            <wp:effectExtent b="0" l="0" r="0" t="0"/>
            <wp:docPr descr="Помещаем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5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Помещаем</w:t>
      </w:r>
    </w:p>
    <w:p>
      <w:pPr>
        <w:pStyle w:val="BodyText"/>
      </w:pPr>
      <w:r>
        <w:t xml:space="preserve">Запускаем веб-сервер(рис. 7).</w:t>
      </w:r>
    </w:p>
    <w:p>
      <w:pPr>
        <w:pStyle w:val="CaptionedFigure"/>
      </w:pPr>
      <w:r>
        <w:drawing>
          <wp:inline>
            <wp:extent cx="3733800" cy="2189508"/>
            <wp:effectExtent b="0" l="0" r="0" t="0"/>
            <wp:docPr descr="Запускаем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9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Запускаем</w:t>
      </w:r>
    </w:p>
    <w:p>
      <w:pPr>
        <w:pStyle w:val="BodyText"/>
      </w:pPr>
      <w:r>
        <w:t xml:space="preserve">Комментируем строки и добавляем следующие отделы(рис. 8).</w:t>
      </w:r>
    </w:p>
    <w:p>
      <w:pPr>
        <w:pStyle w:val="CaptionedFigure"/>
      </w:pPr>
      <w:r>
        <w:drawing>
          <wp:inline>
            <wp:extent cx="3733800" cy="4316487"/>
            <wp:effectExtent b="0" l="0" r="0" t="0"/>
            <wp:docPr descr="Комментируем, добавляем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16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Комментируем, добавляем</w:t>
      </w:r>
    </w:p>
    <w:p>
      <w:pPr>
        <w:pStyle w:val="BodyText"/>
      </w:pPr>
      <w:r>
        <w:t xml:space="preserve">Снова обращаемся к веб-серверу(рис. 9).</w:t>
      </w:r>
    </w:p>
    <w:p>
      <w:pPr>
        <w:pStyle w:val="CaptionedFigure"/>
      </w:pPr>
      <w:r>
        <w:drawing>
          <wp:inline>
            <wp:extent cx="3733800" cy="1824662"/>
            <wp:effectExtent b="0" l="0" r="0" t="0"/>
            <wp:docPr descr="Обращаемся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4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Обращаемся</w:t>
      </w:r>
    </w:p>
    <w:p>
      <w:pPr>
        <w:pStyle w:val="BodyText"/>
      </w:pPr>
      <w:r>
        <w:t xml:space="preserve">Получаем полномочия администратора, смотрим список переключателей, изменяем текущее значение переключателя для службы, повторно смотрим список, изменяем постоянное значение и снова смотри список(рис. 10).</w:t>
      </w:r>
    </w:p>
    <w:p>
      <w:pPr>
        <w:pStyle w:val="CaptionedFigure"/>
      </w:pPr>
      <w:r>
        <w:drawing>
          <wp:inline>
            <wp:extent cx="3733800" cy="1824662"/>
            <wp:effectExtent b="0" l="0" r="0" t="0"/>
            <wp:docPr descr="Смотрим, изменяем" title="" id="48" name="Picture"/>
            <a:graphic>
              <a:graphicData uri="http://schemas.openxmlformats.org/drawingml/2006/picture">
                <pic:pic>
                  <pic:nvPicPr>
                    <pic:cNvPr descr="image/9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4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Смотрим, изменяем</w:t>
      </w:r>
    </w:p>
    <w:bookmarkEnd w:id="50"/>
    <w:bookmarkStart w:id="51" w:name="ответы-на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Ответы на вопросы</w:t>
      </w:r>
    </w:p>
    <w:p>
      <w:pPr>
        <w:pStyle w:val="Compact"/>
        <w:numPr>
          <w:ilvl w:val="0"/>
          <w:numId w:val="1001"/>
        </w:numPr>
      </w:pPr>
      <w:r>
        <w:t xml:space="preserve">setenforce 0</w:t>
      </w:r>
    </w:p>
    <w:p>
      <w:pPr>
        <w:pStyle w:val="Compact"/>
        <w:numPr>
          <w:ilvl w:val="0"/>
          <w:numId w:val="1001"/>
        </w:numPr>
      </w:pPr>
      <w:r>
        <w:t xml:space="preserve">getsebool -a</w:t>
      </w:r>
    </w:p>
    <w:p>
      <w:pPr>
        <w:pStyle w:val="Compact"/>
        <w:numPr>
          <w:ilvl w:val="0"/>
          <w:numId w:val="1001"/>
        </w:numPr>
      </w:pPr>
      <w:r>
        <w:t xml:space="preserve">setroubleshoot-server (или setroubleshoot)</w:t>
      </w:r>
    </w:p>
    <w:p>
      <w:pPr>
        <w:pStyle w:val="Compact"/>
        <w:numPr>
          <w:ilvl w:val="0"/>
          <w:numId w:val="1001"/>
        </w:numPr>
      </w:pPr>
      <w:r>
        <w:t xml:space="preserve">semanage fcontext -a -t httpd_sys_content_t “/web(/.*)?” и затем restorecon -Rv /web</w:t>
      </w:r>
    </w:p>
    <w:p>
      <w:pPr>
        <w:pStyle w:val="Compact"/>
        <w:numPr>
          <w:ilvl w:val="0"/>
          <w:numId w:val="1001"/>
        </w:numPr>
      </w:pPr>
      <w:r>
        <w:t xml:space="preserve">/etc/selinux/config</w:t>
      </w:r>
    </w:p>
    <w:p>
      <w:pPr>
        <w:pStyle w:val="Compact"/>
        <w:numPr>
          <w:ilvl w:val="0"/>
          <w:numId w:val="1001"/>
        </w:numPr>
      </w:pPr>
      <w:r>
        <w:t xml:space="preserve">В файле /var/log/audit/audit.log (через службу auditd)</w:t>
      </w:r>
    </w:p>
    <w:p>
      <w:pPr>
        <w:pStyle w:val="Compact"/>
        <w:numPr>
          <w:ilvl w:val="0"/>
          <w:numId w:val="1001"/>
        </w:numPr>
      </w:pPr>
      <w:r>
        <w:t xml:space="preserve">semanage fcontext -l | grep ftp (или semanage fcontext -l -t ftp_t для более точного поиска)</w:t>
      </w:r>
    </w:p>
    <w:p>
      <w:pPr>
        <w:pStyle w:val="Compact"/>
        <w:numPr>
          <w:ilvl w:val="0"/>
          <w:numId w:val="1001"/>
        </w:numPr>
      </w:pPr>
      <w:r>
        <w:t xml:space="preserve">Временно переключить SELinux в разрешающий режим: setenforce 0</w:t>
      </w:r>
    </w:p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работы с контекстом безопасности и политиками SELinux.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Хохлачёва Полина Дмитриевна</dc:creator>
  <dc:language>ru-RU</dc:language>
  <cp:keywords/>
  <dcterms:created xsi:type="dcterms:W3CDTF">2025-11-01T12:56:14Z</dcterms:created>
  <dcterms:modified xsi:type="dcterms:W3CDTF">2025-11-01T12:56:14Z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SELinux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