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8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загрузкой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файле меняем параметры(рис. 1).</w:t>
      </w:r>
    </w:p>
    <w:p>
      <w:pPr>
        <w:pStyle w:val="CaptionedFigure"/>
      </w:pPr>
      <w:r>
        <w:drawing>
          <wp:inline>
            <wp:extent cx="3733800" cy="1172598"/>
            <wp:effectExtent b="0" l="0" r="0" t="0"/>
            <wp:docPr descr="Параметры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2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Параметры</w:t>
      </w:r>
    </w:p>
    <w:p>
      <w:pPr>
        <w:pStyle w:val="BodyText"/>
      </w:pPr>
      <w:r>
        <w:t xml:space="preserve">Запускаем терминал, получаем полномочия администратора, открываем файл, записываем изменения, перезагрузка системы(рис. 2).</w:t>
      </w:r>
    </w:p>
    <w:p>
      <w:pPr>
        <w:pStyle w:val="CaptionedFigure"/>
      </w:pPr>
      <w:r>
        <w:drawing>
          <wp:inline>
            <wp:extent cx="3733800" cy="1214243"/>
            <wp:effectExtent b="0" l="0" r="0" t="0"/>
            <wp:docPr descr="Файл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</w:t>
      </w:r>
    </w:p>
    <w:p>
      <w:pPr>
        <w:pStyle w:val="BodyText"/>
      </w:pPr>
      <w:r>
        <w:t xml:space="preserve">Удаляем опции rhgb и quit, загружаем ядро системы(рис. 3).</w:t>
      </w:r>
    </w:p>
    <w:p>
      <w:pPr>
        <w:pStyle w:val="CaptionedFigure"/>
      </w:pPr>
      <w:r>
        <w:drawing>
          <wp:inline>
            <wp:extent cx="3733800" cy="2106781"/>
            <wp:effectExtent b="0" l="0" r="0" t="0"/>
            <wp:docPr descr="Ядро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Ядро</w:t>
      </w:r>
    </w:p>
    <w:p>
      <w:pPr>
        <w:pStyle w:val="BodyText"/>
      </w:pPr>
      <w:r>
        <w:t xml:space="preserve">С помощью команды systemctl list-units, смотрим список всех файлов модулей(рис. 4).</w:t>
      </w:r>
    </w:p>
    <w:p>
      <w:pPr>
        <w:pStyle w:val="CaptionedFigure"/>
      </w:pPr>
      <w:r>
        <w:drawing>
          <wp:inline>
            <wp:extent cx="3733800" cy="2733552"/>
            <wp:effectExtent b="0" l="0" r="0" t="0"/>
            <wp:docPr descr="Спиосок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3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Спиосок</w:t>
      </w:r>
    </w:p>
    <w:p>
      <w:pPr>
        <w:pStyle w:val="BodyText"/>
      </w:pPr>
      <w:r>
        <w:t xml:space="preserve">Смотрим задействованные переменные среды оболочки и перезагружаем систему(рис. 5).</w:t>
      </w:r>
    </w:p>
    <w:p>
      <w:pPr>
        <w:pStyle w:val="CaptionedFigure"/>
      </w:pPr>
      <w:r>
        <w:drawing>
          <wp:inline>
            <wp:extent cx="2819400" cy="431800"/>
            <wp:effectExtent b="0" l="0" r="0" t="0"/>
            <wp:docPr descr="Среда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Среда</w:t>
      </w:r>
    </w:p>
    <w:p>
      <w:pPr>
        <w:pStyle w:val="BodyText"/>
      </w:pPr>
      <w:r>
        <w:t xml:space="preserve">Заходим в режим редактора(рис. 6).</w:t>
      </w:r>
    </w:p>
    <w:p>
      <w:pPr>
        <w:pStyle w:val="CaptionedFigure"/>
      </w:pPr>
      <w:r>
        <w:drawing>
          <wp:inline>
            <wp:extent cx="3733800" cy="2091764"/>
            <wp:effectExtent b="0" l="0" r="0" t="0"/>
            <wp:docPr descr="Редактор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Редактор</w:t>
      </w:r>
    </w:p>
    <w:p>
      <w:pPr>
        <w:pStyle w:val="BodyText"/>
      </w:pPr>
      <w:r>
        <w:t xml:space="preserve">С помощью команды systemctl list-units смотрим список всех загруженных файлов модулей и убеждаемся, что их количество уменьшилось(рис. 7).</w:t>
      </w:r>
    </w:p>
    <w:p>
      <w:pPr>
        <w:pStyle w:val="CaptionedFigure"/>
      </w:pPr>
      <w:r>
        <w:drawing>
          <wp:inline>
            <wp:extent cx="3733800" cy="2726701"/>
            <wp:effectExtent b="0" l="0" r="0" t="0"/>
            <wp:docPr descr="Список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6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Список</w:t>
      </w:r>
    </w:p>
    <w:p>
      <w:pPr>
        <w:pStyle w:val="BodyText"/>
      </w:pPr>
      <w:r>
        <w:t xml:space="preserve">Входим в режи м редактора для сброса пароля(рис. 8).</w:t>
      </w:r>
    </w:p>
    <w:p>
      <w:pPr>
        <w:pStyle w:val="CaptionedFigure"/>
      </w:pPr>
      <w:r>
        <w:drawing>
          <wp:inline>
            <wp:extent cx="3733800" cy="2081305"/>
            <wp:effectExtent b="0" l="0" r="0" t="0"/>
            <wp:docPr descr="Сброс пароля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Сброс пароля</w:t>
      </w:r>
    </w:p>
    <w:p>
      <w:pPr>
        <w:pStyle w:val="BodyText"/>
      </w:pPr>
      <w:r>
        <w:t xml:space="preserve">Получаем доступ к системному образу для чтения и записи, делаем содержимое каталога новым корневым каталогом, устанавливаем новый пароль,загружаем политику SELinux, устанавливаем вручную правильный тип контекста(рис. 9).</w:t>
      </w:r>
    </w:p>
    <w:p>
      <w:pPr>
        <w:pStyle w:val="CaptionedFigure"/>
      </w:pPr>
      <w:r>
        <w:drawing>
          <wp:inline>
            <wp:extent cx="3733800" cy="1209540"/>
            <wp:effectExtent b="0" l="0" r="0" t="0"/>
            <wp:docPr descr="Пароль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9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Пароль</w:t>
      </w:r>
    </w:p>
    <w:p>
      <w:pPr>
        <w:pStyle w:val="BodyText"/>
      </w:pPr>
      <w:r>
        <w:t xml:space="preserve">Входим в систему с изменённым паролем(рис.</w:t>
      </w:r>
      <w:r>
        <w:t xml:space="preserve"> </w:t>
      </w:r>
      <w:r>
        <w:rPr>
          <w:b/>
          <w:bCs/>
        </w:rPr>
        <w:t xml:space="preserve">¿fig:0010?</w:t>
      </w:r>
      <w:r>
        <w:t xml:space="preserve">).</w:t>
      </w:r>
    </w:p>
    <w:p>
      <w:pPr>
        <w:pStyle w:val="CaptionedFigure"/>
      </w:pPr>
      <w:r>
        <w:drawing>
          <wp:inline>
            <wp:extent cx="3733800" cy="778829"/>
            <wp:effectExtent b="0" l="0" r="0" t="0"/>
            <wp:docPr descr="Пароль" title="" id="49" name="Picture"/>
            <a:graphic>
              <a:graphicData uri="http://schemas.openxmlformats.org/drawingml/2006/picture">
                <pic:pic>
                  <pic:nvPicPr>
                    <pic:cNvPr descr="image/10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Пароль</w:t>
      </w:r>
    </w:p>
    <w:bookmarkEnd w:id="51"/>
    <w:bookmarkStart w:id="52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numPr>
          <w:ilvl w:val="0"/>
          <w:numId w:val="1001"/>
        </w:numPr>
      </w:pPr>
      <w:r>
        <w:t xml:space="preserve">Какой файл конфигурации следует изменить для применения общих изменений в GRUB2?</w:t>
      </w:r>
      <w:r>
        <w:t xml:space="preserve"> </w:t>
      </w:r>
      <w:r>
        <w:t xml:space="preserve">/etc/default/grub</w:t>
      </w:r>
    </w:p>
    <w:p>
      <w:pPr>
        <w:numPr>
          <w:ilvl w:val="0"/>
          <w:numId w:val="1001"/>
        </w:numPr>
      </w:pPr>
      <w:r>
        <w:t xml:space="preserve">Как называется конфигурационный файл GRUB2, в котором вы применяете изменения для GRUB2?</w:t>
      </w:r>
      <w:r>
        <w:t xml:space="preserve"> </w:t>
      </w:r>
      <w:r>
        <w:t xml:space="preserve">/etc/default/grub</w:t>
      </w:r>
    </w:p>
    <w:p>
      <w:pPr>
        <w:numPr>
          <w:ilvl w:val="0"/>
          <w:numId w:val="1001"/>
        </w:numPr>
      </w:pPr>
      <w:r>
        <w:t xml:space="preserve">После внесения изменений в конфигурацию GRUB2, какую команду вы должны выполнить, чтобы изменения сохранились и воспринялись при загрузке системы?</w:t>
      </w:r>
      <w:r>
        <w:t xml:space="preserve"> </w:t>
      </w:r>
      <w:r>
        <w:t xml:space="preserve">sudo update-grub (для Debian/Ubuntu-подобных систем) или sudo grub2-mkconfig -o /boot/grub2/grub.cfg (для Fedora/CentOS/RHEL-подобных систем).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загрузчиком системы GRUB2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8" Target="media/rId48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Хохлачёва Полина Дмитриевна</dc:creator>
  <dc:language>ru-RU</dc:language>
  <cp:keywords/>
  <dcterms:created xsi:type="dcterms:W3CDTF">2025-11-15T10:29:48Z</dcterms:created>
  <dcterms:modified xsi:type="dcterms:W3CDTF">2025-11-15T10:29:48Z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загрузкой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