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F6BFC9A0F2A4470586541D09ACA6F3CC"/>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0A5AA5" w:rsidP="007E0373">
      <w:pPr>
        <w:tabs>
          <w:tab w:val="left" w:pos="4320"/>
          <w:tab w:val="left" w:pos="8640"/>
        </w:tabs>
        <w:spacing w:before="120" w:after="360"/>
        <w:jc w:val="center"/>
        <w:rPr>
          <w:b/>
          <w:sz w:val="36"/>
        </w:rPr>
      </w:pPr>
      <w:proofErr w:type="spellStart"/>
      <w:r w:rsidRPr="000A5AA5">
        <w:rPr>
          <w:b/>
          <w:sz w:val="36"/>
        </w:rPr>
        <w:t>TEstimn</w:t>
      </w:r>
      <w:proofErr w:type="spellEnd"/>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0A5AA5">
        <w:rPr>
          <w:b/>
          <w:sz w:val="36"/>
        </w:rPr>
        <w:t>Sep</w:t>
      </w:r>
      <w:r w:rsidR="00401A9E">
        <w:rPr>
          <w:b/>
          <w:sz w:val="36"/>
        </w:rPr>
        <w:t xml:space="preserve"> </w:t>
      </w:r>
      <w:r w:rsidR="000A5AA5">
        <w:rPr>
          <w:b/>
          <w:sz w:val="36"/>
        </w:rPr>
        <w:t>17</w:t>
      </w:r>
      <w:r w:rsidR="00401A9E">
        <w:rPr>
          <w:b/>
          <w:sz w:val="36"/>
        </w:rPr>
        <w:t>, 2015</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401A9E">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401A9E">
        <w:rPr>
          <w:b/>
          <w:sz w:val="24"/>
        </w:rPr>
        <w:t>Nexteer</w:t>
      </w:r>
      <w:proofErr w:type="spellEnd"/>
      <w:r w:rsidR="00401A9E">
        <w:rPr>
          <w:b/>
          <w:sz w:val="24"/>
        </w:rPr>
        <w:t xml:space="preserve">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proofErr w:type="spellStart"/>
      <w:r w:rsidR="00401A9E">
        <w:rPr>
          <w:b/>
          <w:sz w:val="24"/>
        </w:rPr>
        <w:t>Sankardu</w:t>
      </w:r>
      <w:proofErr w:type="spellEnd"/>
      <w:r w:rsidR="00401A9E">
        <w:rPr>
          <w:b/>
          <w:sz w:val="24"/>
        </w:rPr>
        <w:t xml:space="preserve"> </w:t>
      </w:r>
      <w:proofErr w:type="spellStart"/>
      <w:r w:rsidR="00401A9E">
        <w:rPr>
          <w:b/>
          <w:sz w:val="24"/>
        </w:rPr>
        <w:t>Varadapureddi</w:t>
      </w:r>
      <w:proofErr w:type="spellEnd"/>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401A9E">
        <w:rPr>
          <w:b/>
          <w:sz w:val="24"/>
        </w:rPr>
        <w:t>Nexteer</w:t>
      </w:r>
      <w:proofErr w:type="spellEnd"/>
      <w:r w:rsidR="00401A9E">
        <w:rPr>
          <w:b/>
          <w:sz w:val="24"/>
        </w:rPr>
        <w:t xml:space="preserve">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401A9E" w:rsidRPr="00AA38E8" w:rsidTr="00401A9E">
        <w:tc>
          <w:tcPr>
            <w:tcW w:w="2520" w:type="dxa"/>
          </w:tcPr>
          <w:p w:rsidR="00401A9E" w:rsidRPr="00AA38E8" w:rsidRDefault="00401A9E"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401A9E" w:rsidRPr="00AA38E8" w:rsidRDefault="00401A9E" w:rsidP="00D229A6">
            <w:pPr>
              <w:jc w:val="center"/>
              <w:rPr>
                <w:rFonts w:cs="Calibri"/>
                <w:b/>
              </w:rPr>
            </w:pPr>
            <w:r w:rsidRPr="00AA38E8">
              <w:rPr>
                <w:rFonts w:cs="Calibri"/>
                <w:b/>
              </w:rPr>
              <w:t>Author</w:t>
            </w:r>
          </w:p>
        </w:tc>
        <w:tc>
          <w:tcPr>
            <w:tcW w:w="1350" w:type="dxa"/>
          </w:tcPr>
          <w:p w:rsidR="00401A9E" w:rsidRPr="00AA38E8" w:rsidRDefault="00401A9E" w:rsidP="00D229A6">
            <w:pPr>
              <w:jc w:val="center"/>
              <w:rPr>
                <w:rFonts w:cs="Calibri"/>
                <w:b/>
              </w:rPr>
            </w:pPr>
            <w:r w:rsidRPr="00AA38E8">
              <w:rPr>
                <w:rFonts w:cs="Calibri"/>
                <w:b/>
              </w:rPr>
              <w:t>Version</w:t>
            </w:r>
          </w:p>
        </w:tc>
        <w:tc>
          <w:tcPr>
            <w:tcW w:w="1440" w:type="dxa"/>
          </w:tcPr>
          <w:p w:rsidR="00401A9E" w:rsidRPr="00AA38E8" w:rsidRDefault="00401A9E" w:rsidP="00D229A6">
            <w:pPr>
              <w:jc w:val="center"/>
              <w:rPr>
                <w:rFonts w:cs="Calibri"/>
                <w:b/>
              </w:rPr>
            </w:pPr>
            <w:r w:rsidRPr="00AA38E8">
              <w:rPr>
                <w:rFonts w:cs="Calibri"/>
                <w:b/>
              </w:rPr>
              <w:t>Date</w:t>
            </w:r>
          </w:p>
        </w:tc>
      </w:tr>
      <w:tr w:rsidR="00401A9E" w:rsidRPr="00AA38E8" w:rsidTr="00401A9E">
        <w:tc>
          <w:tcPr>
            <w:tcW w:w="2520" w:type="dxa"/>
          </w:tcPr>
          <w:p w:rsidR="00401A9E" w:rsidRPr="00AA38E8" w:rsidRDefault="00401A9E" w:rsidP="00D229A6">
            <w:pPr>
              <w:rPr>
                <w:rFonts w:cs="Calibri"/>
              </w:rPr>
            </w:pPr>
            <w:r>
              <w:rPr>
                <w:rFonts w:cs="Calibri"/>
              </w:rPr>
              <w:t>Initial Version</w:t>
            </w:r>
          </w:p>
        </w:tc>
        <w:tc>
          <w:tcPr>
            <w:tcW w:w="2160" w:type="dxa"/>
          </w:tcPr>
          <w:p w:rsidR="00401A9E" w:rsidRPr="00AA38E8" w:rsidRDefault="00401A9E" w:rsidP="00D229A6">
            <w:pPr>
              <w:rPr>
                <w:rFonts w:cs="Calibri"/>
              </w:rPr>
            </w:pPr>
            <w:proofErr w:type="spellStart"/>
            <w:r>
              <w:rPr>
                <w:rFonts w:cs="Calibri"/>
              </w:rPr>
              <w:t>Sankardu</w:t>
            </w:r>
            <w:proofErr w:type="spellEnd"/>
            <w:r>
              <w:rPr>
                <w:rFonts w:cs="Calibri"/>
              </w:rPr>
              <w:t xml:space="preserve"> </w:t>
            </w:r>
            <w:proofErr w:type="spellStart"/>
            <w:r>
              <w:rPr>
                <w:rFonts w:cs="Calibri"/>
              </w:rPr>
              <w:t>Varadapureddi</w:t>
            </w:r>
            <w:proofErr w:type="spellEnd"/>
          </w:p>
        </w:tc>
        <w:tc>
          <w:tcPr>
            <w:tcW w:w="1350" w:type="dxa"/>
          </w:tcPr>
          <w:p w:rsidR="00401A9E" w:rsidRPr="00AA38E8" w:rsidRDefault="00401A9E" w:rsidP="00D229A6">
            <w:pPr>
              <w:rPr>
                <w:rFonts w:cs="Calibri"/>
              </w:rPr>
            </w:pPr>
            <w:r>
              <w:rPr>
                <w:rFonts w:cs="Calibri"/>
              </w:rPr>
              <w:t>1</w:t>
            </w:r>
          </w:p>
        </w:tc>
        <w:tc>
          <w:tcPr>
            <w:tcW w:w="1440" w:type="dxa"/>
          </w:tcPr>
          <w:p w:rsidR="00401A9E" w:rsidRPr="00AA38E8" w:rsidRDefault="000A5AA5" w:rsidP="000A5AA5">
            <w:pPr>
              <w:rPr>
                <w:rFonts w:cs="Calibri"/>
              </w:rPr>
            </w:pPr>
            <w:r>
              <w:rPr>
                <w:rFonts w:cs="Calibri"/>
              </w:rPr>
              <w:t>17</w:t>
            </w:r>
            <w:r w:rsidR="00401A9E">
              <w:rPr>
                <w:rFonts w:cs="Calibri"/>
              </w:rPr>
              <w:t>-</w:t>
            </w:r>
            <w:r>
              <w:rPr>
                <w:rFonts w:cs="Calibri"/>
              </w:rPr>
              <w:t>Sep</w:t>
            </w:r>
            <w:r w:rsidR="00401A9E">
              <w:rPr>
                <w:rFonts w:cs="Calibri"/>
              </w:rPr>
              <w:t>-2015</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6B1E80"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6B1E80" w:rsidRDefault="006B1E80">
      <w:pPr>
        <w:pStyle w:val="TOC1"/>
        <w:rPr>
          <w:rFonts w:eastAsiaTheme="minorEastAsia"/>
          <w:b w:val="0"/>
          <w:color w:val="auto"/>
          <w:kern w:val="0"/>
          <w:sz w:val="22"/>
          <w:szCs w:val="22"/>
          <w:lang w:val="en-US"/>
        </w:rPr>
      </w:pPr>
      <w:hyperlink w:anchor="_Toc430945160" w:history="1">
        <w:r w:rsidRPr="00282EE4">
          <w:rPr>
            <w:rStyle w:val="Hyperlink"/>
          </w:rPr>
          <w:t>1</w:t>
        </w:r>
        <w:r>
          <w:rPr>
            <w:rFonts w:eastAsiaTheme="minorEastAsia"/>
            <w:b w:val="0"/>
            <w:color w:val="auto"/>
            <w:kern w:val="0"/>
            <w:sz w:val="22"/>
            <w:szCs w:val="22"/>
            <w:lang w:val="en-US"/>
          </w:rPr>
          <w:tab/>
        </w:r>
        <w:r w:rsidRPr="00282EE4">
          <w:rPr>
            <w:rStyle w:val="Hyperlink"/>
          </w:rPr>
          <w:t>Introduction</w:t>
        </w:r>
        <w:r>
          <w:rPr>
            <w:webHidden/>
          </w:rPr>
          <w:tab/>
        </w:r>
        <w:r>
          <w:rPr>
            <w:webHidden/>
          </w:rPr>
          <w:fldChar w:fldCharType="begin"/>
        </w:r>
        <w:r>
          <w:rPr>
            <w:webHidden/>
          </w:rPr>
          <w:instrText xml:space="preserve"> PAGEREF _Toc430945160 \h </w:instrText>
        </w:r>
        <w:r>
          <w:rPr>
            <w:webHidden/>
          </w:rPr>
        </w:r>
        <w:r>
          <w:rPr>
            <w:webHidden/>
          </w:rPr>
          <w:fldChar w:fldCharType="separate"/>
        </w:r>
        <w:r>
          <w:rPr>
            <w:webHidden/>
          </w:rPr>
          <w:t>4</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61" w:history="1">
        <w:r w:rsidRPr="00282EE4">
          <w:rPr>
            <w:rStyle w:val="Hyperlink"/>
          </w:rPr>
          <w:t>1.1</w:t>
        </w:r>
        <w:r>
          <w:rPr>
            <w:rFonts w:asciiTheme="minorHAnsi" w:eastAsiaTheme="minorEastAsia" w:hAnsiTheme="minorHAnsi"/>
            <w:color w:val="auto"/>
            <w:kern w:val="0"/>
            <w:szCs w:val="22"/>
          </w:rPr>
          <w:tab/>
        </w:r>
        <w:r w:rsidRPr="00282EE4">
          <w:rPr>
            <w:rStyle w:val="Hyperlink"/>
          </w:rPr>
          <w:t>Purpose</w:t>
        </w:r>
        <w:r>
          <w:rPr>
            <w:webHidden/>
          </w:rPr>
          <w:tab/>
        </w:r>
        <w:r>
          <w:rPr>
            <w:webHidden/>
          </w:rPr>
          <w:fldChar w:fldCharType="begin"/>
        </w:r>
        <w:r>
          <w:rPr>
            <w:webHidden/>
          </w:rPr>
          <w:instrText xml:space="preserve"> PAGEREF _Toc430945161 \h </w:instrText>
        </w:r>
        <w:r>
          <w:rPr>
            <w:webHidden/>
          </w:rPr>
        </w:r>
        <w:r>
          <w:rPr>
            <w:webHidden/>
          </w:rPr>
          <w:fldChar w:fldCharType="separate"/>
        </w:r>
        <w:r>
          <w:rPr>
            <w:webHidden/>
          </w:rPr>
          <w:t>4</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62" w:history="1">
        <w:r w:rsidRPr="00282EE4">
          <w:rPr>
            <w:rStyle w:val="Hyperlink"/>
          </w:rPr>
          <w:t>1.2</w:t>
        </w:r>
        <w:r>
          <w:rPr>
            <w:rFonts w:asciiTheme="minorHAnsi" w:eastAsiaTheme="minorEastAsia" w:hAnsiTheme="minorHAnsi"/>
            <w:color w:val="auto"/>
            <w:kern w:val="0"/>
            <w:szCs w:val="22"/>
          </w:rPr>
          <w:tab/>
        </w:r>
        <w:r w:rsidRPr="00282EE4">
          <w:rPr>
            <w:rStyle w:val="Hyperlink"/>
          </w:rPr>
          <w:t>Scope</w:t>
        </w:r>
        <w:r>
          <w:rPr>
            <w:webHidden/>
          </w:rPr>
          <w:tab/>
        </w:r>
        <w:r>
          <w:rPr>
            <w:webHidden/>
          </w:rPr>
          <w:fldChar w:fldCharType="begin"/>
        </w:r>
        <w:r>
          <w:rPr>
            <w:webHidden/>
          </w:rPr>
          <w:instrText xml:space="preserve"> PAGEREF _Toc430945162 \h </w:instrText>
        </w:r>
        <w:r>
          <w:rPr>
            <w:webHidden/>
          </w:rPr>
        </w:r>
        <w:r>
          <w:rPr>
            <w:webHidden/>
          </w:rPr>
          <w:fldChar w:fldCharType="separate"/>
        </w:r>
        <w:r>
          <w:rPr>
            <w:webHidden/>
          </w:rPr>
          <w:t>4</w:t>
        </w:r>
        <w:r>
          <w:rPr>
            <w:webHidden/>
          </w:rPr>
          <w:fldChar w:fldCharType="end"/>
        </w:r>
      </w:hyperlink>
    </w:p>
    <w:p w:rsidR="006B1E80" w:rsidRDefault="006B1E80">
      <w:pPr>
        <w:pStyle w:val="TOC1"/>
        <w:rPr>
          <w:rFonts w:eastAsiaTheme="minorEastAsia"/>
          <w:b w:val="0"/>
          <w:color w:val="auto"/>
          <w:kern w:val="0"/>
          <w:sz w:val="22"/>
          <w:szCs w:val="22"/>
          <w:lang w:val="en-US"/>
        </w:rPr>
      </w:pPr>
      <w:hyperlink w:anchor="_Toc430945163" w:history="1">
        <w:r w:rsidRPr="00282EE4">
          <w:rPr>
            <w:rStyle w:val="Hyperlink"/>
          </w:rPr>
          <w:t>2</w:t>
        </w:r>
        <w:r>
          <w:rPr>
            <w:rFonts w:eastAsiaTheme="minorEastAsia"/>
            <w:b w:val="0"/>
            <w:color w:val="auto"/>
            <w:kern w:val="0"/>
            <w:sz w:val="22"/>
            <w:szCs w:val="22"/>
            <w:lang w:val="en-US"/>
          </w:rPr>
          <w:tab/>
        </w:r>
        <w:r w:rsidRPr="00282EE4">
          <w:rPr>
            <w:rStyle w:val="Hyperlink"/>
          </w:rPr>
          <w:t>TEstimn High-Level Description</w:t>
        </w:r>
        <w:r>
          <w:rPr>
            <w:webHidden/>
          </w:rPr>
          <w:tab/>
        </w:r>
        <w:r>
          <w:rPr>
            <w:webHidden/>
          </w:rPr>
          <w:fldChar w:fldCharType="begin"/>
        </w:r>
        <w:r>
          <w:rPr>
            <w:webHidden/>
          </w:rPr>
          <w:instrText xml:space="preserve"> PAGEREF _Toc430945163 \h </w:instrText>
        </w:r>
        <w:r>
          <w:rPr>
            <w:webHidden/>
          </w:rPr>
        </w:r>
        <w:r>
          <w:rPr>
            <w:webHidden/>
          </w:rPr>
          <w:fldChar w:fldCharType="separate"/>
        </w:r>
        <w:r>
          <w:rPr>
            <w:webHidden/>
          </w:rPr>
          <w:t>5</w:t>
        </w:r>
        <w:r>
          <w:rPr>
            <w:webHidden/>
          </w:rPr>
          <w:fldChar w:fldCharType="end"/>
        </w:r>
      </w:hyperlink>
    </w:p>
    <w:p w:rsidR="006B1E80" w:rsidRDefault="006B1E80">
      <w:pPr>
        <w:pStyle w:val="TOC1"/>
        <w:rPr>
          <w:rFonts w:eastAsiaTheme="minorEastAsia"/>
          <w:b w:val="0"/>
          <w:color w:val="auto"/>
          <w:kern w:val="0"/>
          <w:sz w:val="22"/>
          <w:szCs w:val="22"/>
          <w:lang w:val="en-US"/>
        </w:rPr>
      </w:pPr>
      <w:hyperlink w:anchor="_Toc430945164" w:history="1">
        <w:r w:rsidRPr="00282EE4">
          <w:rPr>
            <w:rStyle w:val="Hyperlink"/>
            <w:rFonts w:ascii="Calibri" w:hAnsi="Calibri" w:cs="Calibri"/>
          </w:rPr>
          <w:t>3</w:t>
        </w:r>
        <w:r>
          <w:rPr>
            <w:rFonts w:eastAsiaTheme="minorEastAsia"/>
            <w:b w:val="0"/>
            <w:color w:val="auto"/>
            <w:kern w:val="0"/>
            <w:sz w:val="22"/>
            <w:szCs w:val="22"/>
            <w:lang w:val="en-US"/>
          </w:rPr>
          <w:tab/>
        </w:r>
        <w:r w:rsidRPr="00282EE4">
          <w:rPr>
            <w:rStyle w:val="Hyperlink"/>
            <w:rFonts w:ascii="Calibri" w:hAnsi="Calibri" w:cs="Calibri"/>
          </w:rPr>
          <w:t>Design details of software module</w:t>
        </w:r>
        <w:r>
          <w:rPr>
            <w:webHidden/>
          </w:rPr>
          <w:tab/>
        </w:r>
        <w:r>
          <w:rPr>
            <w:webHidden/>
          </w:rPr>
          <w:fldChar w:fldCharType="begin"/>
        </w:r>
        <w:r>
          <w:rPr>
            <w:webHidden/>
          </w:rPr>
          <w:instrText xml:space="preserve"> PAGEREF _Toc430945164 \h </w:instrText>
        </w:r>
        <w:r>
          <w:rPr>
            <w:webHidden/>
          </w:rPr>
        </w:r>
        <w:r>
          <w:rPr>
            <w:webHidden/>
          </w:rPr>
          <w:fldChar w:fldCharType="separate"/>
        </w:r>
        <w:r>
          <w:rPr>
            <w:webHidden/>
          </w:rPr>
          <w:t>6</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65" w:history="1">
        <w:r w:rsidRPr="00282EE4">
          <w:rPr>
            <w:rStyle w:val="Hyperlink"/>
          </w:rPr>
          <w:t>3.1</w:t>
        </w:r>
        <w:r>
          <w:rPr>
            <w:rFonts w:asciiTheme="minorHAnsi" w:eastAsiaTheme="minorEastAsia" w:hAnsiTheme="minorHAnsi"/>
            <w:color w:val="auto"/>
            <w:kern w:val="0"/>
            <w:szCs w:val="22"/>
          </w:rPr>
          <w:tab/>
        </w:r>
        <w:r w:rsidRPr="00282EE4">
          <w:rPr>
            <w:rStyle w:val="Hyperlink"/>
          </w:rPr>
          <w:t xml:space="preserve">Graphical representation of </w:t>
        </w:r>
        <w:r w:rsidRPr="00282EE4">
          <w:rPr>
            <w:rStyle w:val="Hyperlink"/>
            <w:rFonts w:cs="Calibri"/>
          </w:rPr>
          <w:t>TEstimn</w:t>
        </w:r>
        <w:r>
          <w:rPr>
            <w:webHidden/>
          </w:rPr>
          <w:tab/>
        </w:r>
        <w:r>
          <w:rPr>
            <w:webHidden/>
          </w:rPr>
          <w:fldChar w:fldCharType="begin"/>
        </w:r>
        <w:r>
          <w:rPr>
            <w:webHidden/>
          </w:rPr>
          <w:instrText xml:space="preserve"> PAGEREF _Toc430945165 \h </w:instrText>
        </w:r>
        <w:r>
          <w:rPr>
            <w:webHidden/>
          </w:rPr>
        </w:r>
        <w:r>
          <w:rPr>
            <w:webHidden/>
          </w:rPr>
          <w:fldChar w:fldCharType="separate"/>
        </w:r>
        <w:r>
          <w:rPr>
            <w:webHidden/>
          </w:rPr>
          <w:t>6</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66" w:history="1">
        <w:r w:rsidRPr="00282EE4">
          <w:rPr>
            <w:rStyle w:val="Hyperlink"/>
            <w:rFonts w:cs="Calibri"/>
          </w:rPr>
          <w:t>3.2</w:t>
        </w:r>
        <w:r>
          <w:rPr>
            <w:rFonts w:asciiTheme="minorHAnsi" w:eastAsiaTheme="minorEastAsia" w:hAnsiTheme="minorHAnsi"/>
            <w:color w:val="auto"/>
            <w:kern w:val="0"/>
            <w:szCs w:val="22"/>
          </w:rPr>
          <w:tab/>
        </w:r>
        <w:r w:rsidRPr="00282EE4">
          <w:rPr>
            <w:rStyle w:val="Hyperlink"/>
            <w:rFonts w:cs="Calibri"/>
          </w:rPr>
          <w:t>Data Flow Diagram</w:t>
        </w:r>
        <w:r>
          <w:rPr>
            <w:webHidden/>
          </w:rPr>
          <w:tab/>
        </w:r>
        <w:r>
          <w:rPr>
            <w:webHidden/>
          </w:rPr>
          <w:fldChar w:fldCharType="begin"/>
        </w:r>
        <w:r>
          <w:rPr>
            <w:webHidden/>
          </w:rPr>
          <w:instrText xml:space="preserve"> PAGEREF _Toc430945166 \h </w:instrText>
        </w:r>
        <w:r>
          <w:rPr>
            <w:webHidden/>
          </w:rPr>
        </w:r>
        <w:r>
          <w:rPr>
            <w:webHidden/>
          </w:rPr>
          <w:fldChar w:fldCharType="separate"/>
        </w:r>
        <w:r>
          <w:rPr>
            <w:webHidden/>
          </w:rPr>
          <w:t>6</w:t>
        </w:r>
        <w:r>
          <w:rPr>
            <w:webHidden/>
          </w:rPr>
          <w:fldChar w:fldCharType="end"/>
        </w:r>
      </w:hyperlink>
    </w:p>
    <w:p w:rsidR="006B1E80" w:rsidRDefault="006B1E80">
      <w:pPr>
        <w:pStyle w:val="TOC3"/>
        <w:tabs>
          <w:tab w:val="left" w:pos="1200"/>
        </w:tabs>
        <w:rPr>
          <w:rFonts w:asciiTheme="minorHAnsi" w:eastAsiaTheme="minorEastAsia" w:hAnsiTheme="minorHAnsi"/>
          <w:color w:val="auto"/>
          <w:kern w:val="0"/>
          <w:sz w:val="22"/>
          <w:szCs w:val="22"/>
        </w:rPr>
      </w:pPr>
      <w:hyperlink w:anchor="_Toc430945167" w:history="1">
        <w:r w:rsidRPr="00282EE4">
          <w:rPr>
            <w:rStyle w:val="Hyperlink"/>
            <w:rFonts w:cs="Calibri"/>
          </w:rPr>
          <w:t>3.2.1</w:t>
        </w:r>
        <w:r>
          <w:rPr>
            <w:rFonts w:asciiTheme="minorHAnsi" w:eastAsiaTheme="minorEastAsia" w:hAnsiTheme="minorHAnsi"/>
            <w:color w:val="auto"/>
            <w:kern w:val="0"/>
            <w:sz w:val="22"/>
            <w:szCs w:val="22"/>
          </w:rPr>
          <w:tab/>
        </w:r>
        <w:r w:rsidRPr="00282EE4">
          <w:rPr>
            <w:rStyle w:val="Hyperlink"/>
          </w:rPr>
          <w:t xml:space="preserve">Component </w:t>
        </w:r>
        <w:r w:rsidRPr="00282EE4">
          <w:rPr>
            <w:rStyle w:val="Hyperlink"/>
            <w:rFonts w:cs="Calibri"/>
          </w:rPr>
          <w:t>level DFD</w:t>
        </w:r>
        <w:r>
          <w:rPr>
            <w:webHidden/>
          </w:rPr>
          <w:tab/>
        </w:r>
        <w:r>
          <w:rPr>
            <w:webHidden/>
          </w:rPr>
          <w:fldChar w:fldCharType="begin"/>
        </w:r>
        <w:r>
          <w:rPr>
            <w:webHidden/>
          </w:rPr>
          <w:instrText xml:space="preserve"> PAGEREF _Toc430945167 \h </w:instrText>
        </w:r>
        <w:r>
          <w:rPr>
            <w:webHidden/>
          </w:rPr>
        </w:r>
        <w:r>
          <w:rPr>
            <w:webHidden/>
          </w:rPr>
          <w:fldChar w:fldCharType="separate"/>
        </w:r>
        <w:r>
          <w:rPr>
            <w:webHidden/>
          </w:rPr>
          <w:t>6</w:t>
        </w:r>
        <w:r>
          <w:rPr>
            <w:webHidden/>
          </w:rPr>
          <w:fldChar w:fldCharType="end"/>
        </w:r>
      </w:hyperlink>
    </w:p>
    <w:p w:rsidR="006B1E80" w:rsidRDefault="006B1E80">
      <w:pPr>
        <w:pStyle w:val="TOC3"/>
        <w:tabs>
          <w:tab w:val="left" w:pos="1200"/>
        </w:tabs>
        <w:rPr>
          <w:rFonts w:asciiTheme="minorHAnsi" w:eastAsiaTheme="minorEastAsia" w:hAnsiTheme="minorHAnsi"/>
          <w:color w:val="auto"/>
          <w:kern w:val="0"/>
          <w:sz w:val="22"/>
          <w:szCs w:val="22"/>
        </w:rPr>
      </w:pPr>
      <w:hyperlink w:anchor="_Toc430945168" w:history="1">
        <w:r w:rsidRPr="00282EE4">
          <w:rPr>
            <w:rStyle w:val="Hyperlink"/>
            <w:rFonts w:cs="Calibri"/>
          </w:rPr>
          <w:t>3.2.2</w:t>
        </w:r>
        <w:r>
          <w:rPr>
            <w:rFonts w:asciiTheme="minorHAnsi" w:eastAsiaTheme="minorEastAsia" w:hAnsiTheme="minorHAnsi"/>
            <w:color w:val="auto"/>
            <w:kern w:val="0"/>
            <w:sz w:val="22"/>
            <w:szCs w:val="22"/>
          </w:rPr>
          <w:tab/>
        </w:r>
        <w:r w:rsidRPr="00282EE4">
          <w:rPr>
            <w:rStyle w:val="Hyperlink"/>
          </w:rPr>
          <w:t xml:space="preserve">Function </w:t>
        </w:r>
        <w:r w:rsidRPr="00282EE4">
          <w:rPr>
            <w:rStyle w:val="Hyperlink"/>
            <w:rFonts w:cs="Calibri"/>
          </w:rPr>
          <w:t>level DFD</w:t>
        </w:r>
        <w:r>
          <w:rPr>
            <w:webHidden/>
          </w:rPr>
          <w:tab/>
        </w:r>
        <w:r>
          <w:rPr>
            <w:webHidden/>
          </w:rPr>
          <w:fldChar w:fldCharType="begin"/>
        </w:r>
        <w:r>
          <w:rPr>
            <w:webHidden/>
          </w:rPr>
          <w:instrText xml:space="preserve"> PAGEREF _Toc430945168 \h </w:instrText>
        </w:r>
        <w:r>
          <w:rPr>
            <w:webHidden/>
          </w:rPr>
        </w:r>
        <w:r>
          <w:rPr>
            <w:webHidden/>
          </w:rPr>
          <w:fldChar w:fldCharType="separate"/>
        </w:r>
        <w:r>
          <w:rPr>
            <w:webHidden/>
          </w:rPr>
          <w:t>7</w:t>
        </w:r>
        <w:r>
          <w:rPr>
            <w:webHidden/>
          </w:rPr>
          <w:fldChar w:fldCharType="end"/>
        </w:r>
      </w:hyperlink>
    </w:p>
    <w:p w:rsidR="006B1E80" w:rsidRDefault="006B1E80">
      <w:pPr>
        <w:pStyle w:val="TOC1"/>
        <w:rPr>
          <w:rFonts w:eastAsiaTheme="minorEastAsia"/>
          <w:b w:val="0"/>
          <w:color w:val="auto"/>
          <w:kern w:val="0"/>
          <w:sz w:val="22"/>
          <w:szCs w:val="22"/>
          <w:lang w:val="en-US"/>
        </w:rPr>
      </w:pPr>
      <w:hyperlink w:anchor="_Toc430945169" w:history="1">
        <w:r w:rsidRPr="00282EE4">
          <w:rPr>
            <w:rStyle w:val="Hyperlink"/>
            <w:rFonts w:ascii="Calibri" w:hAnsi="Calibri" w:cs="Calibri"/>
          </w:rPr>
          <w:t>4</w:t>
        </w:r>
        <w:r>
          <w:rPr>
            <w:rFonts w:eastAsiaTheme="minorEastAsia"/>
            <w:b w:val="0"/>
            <w:color w:val="auto"/>
            <w:kern w:val="0"/>
            <w:sz w:val="22"/>
            <w:szCs w:val="22"/>
            <w:lang w:val="en-US"/>
          </w:rPr>
          <w:tab/>
        </w:r>
        <w:r w:rsidRPr="00282EE4">
          <w:rPr>
            <w:rStyle w:val="Hyperlink"/>
            <w:rFonts w:ascii="Calibri" w:hAnsi="Calibri" w:cs="Calibri"/>
          </w:rPr>
          <w:t>Constant Data Dictionary</w:t>
        </w:r>
        <w:r>
          <w:rPr>
            <w:webHidden/>
          </w:rPr>
          <w:tab/>
        </w:r>
        <w:r>
          <w:rPr>
            <w:webHidden/>
          </w:rPr>
          <w:fldChar w:fldCharType="begin"/>
        </w:r>
        <w:r>
          <w:rPr>
            <w:webHidden/>
          </w:rPr>
          <w:instrText xml:space="preserve"> PAGEREF _Toc430945169 \h </w:instrText>
        </w:r>
        <w:r>
          <w:rPr>
            <w:webHidden/>
          </w:rPr>
        </w:r>
        <w:r>
          <w:rPr>
            <w:webHidden/>
          </w:rPr>
          <w:fldChar w:fldCharType="separate"/>
        </w:r>
        <w:r>
          <w:rPr>
            <w:webHidden/>
          </w:rPr>
          <w:t>8</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70" w:history="1">
        <w:r w:rsidRPr="00282EE4">
          <w:rPr>
            <w:rStyle w:val="Hyperlink"/>
          </w:rPr>
          <w:t>4.1</w:t>
        </w:r>
        <w:r>
          <w:rPr>
            <w:rFonts w:asciiTheme="minorHAnsi" w:eastAsiaTheme="minorEastAsia" w:hAnsiTheme="minorHAnsi"/>
            <w:color w:val="auto"/>
            <w:kern w:val="0"/>
            <w:szCs w:val="22"/>
          </w:rPr>
          <w:tab/>
        </w:r>
        <w:r w:rsidRPr="00282EE4">
          <w:rPr>
            <w:rStyle w:val="Hyperlink"/>
          </w:rPr>
          <w:t>Program (fixed) Constants</w:t>
        </w:r>
        <w:r>
          <w:rPr>
            <w:webHidden/>
          </w:rPr>
          <w:tab/>
        </w:r>
        <w:r>
          <w:rPr>
            <w:webHidden/>
          </w:rPr>
          <w:fldChar w:fldCharType="begin"/>
        </w:r>
        <w:r>
          <w:rPr>
            <w:webHidden/>
          </w:rPr>
          <w:instrText xml:space="preserve"> PAGEREF _Toc430945170 \h </w:instrText>
        </w:r>
        <w:r>
          <w:rPr>
            <w:webHidden/>
          </w:rPr>
        </w:r>
        <w:r>
          <w:rPr>
            <w:webHidden/>
          </w:rPr>
          <w:fldChar w:fldCharType="separate"/>
        </w:r>
        <w:r>
          <w:rPr>
            <w:webHidden/>
          </w:rPr>
          <w:t>8</w:t>
        </w:r>
        <w:r>
          <w:rPr>
            <w:webHidden/>
          </w:rPr>
          <w:fldChar w:fldCharType="end"/>
        </w:r>
      </w:hyperlink>
    </w:p>
    <w:p w:rsidR="006B1E80" w:rsidRDefault="006B1E80">
      <w:pPr>
        <w:pStyle w:val="TOC3"/>
        <w:tabs>
          <w:tab w:val="left" w:pos="1200"/>
        </w:tabs>
        <w:rPr>
          <w:rFonts w:asciiTheme="minorHAnsi" w:eastAsiaTheme="minorEastAsia" w:hAnsiTheme="minorHAnsi"/>
          <w:color w:val="auto"/>
          <w:kern w:val="0"/>
          <w:sz w:val="22"/>
          <w:szCs w:val="22"/>
        </w:rPr>
      </w:pPr>
      <w:hyperlink w:anchor="_Toc430945171" w:history="1">
        <w:r w:rsidRPr="00282EE4">
          <w:rPr>
            <w:rStyle w:val="Hyperlink"/>
          </w:rPr>
          <w:t>4.1.1</w:t>
        </w:r>
        <w:r>
          <w:rPr>
            <w:rFonts w:asciiTheme="minorHAnsi" w:eastAsiaTheme="minorEastAsia" w:hAnsiTheme="minorHAnsi"/>
            <w:color w:val="auto"/>
            <w:kern w:val="0"/>
            <w:sz w:val="22"/>
            <w:szCs w:val="22"/>
          </w:rPr>
          <w:tab/>
        </w:r>
        <w:r w:rsidRPr="00282EE4">
          <w:rPr>
            <w:rStyle w:val="Hyperlink"/>
          </w:rPr>
          <w:t>Embedded Constants</w:t>
        </w:r>
        <w:r>
          <w:rPr>
            <w:webHidden/>
          </w:rPr>
          <w:tab/>
        </w:r>
        <w:r>
          <w:rPr>
            <w:webHidden/>
          </w:rPr>
          <w:fldChar w:fldCharType="begin"/>
        </w:r>
        <w:r>
          <w:rPr>
            <w:webHidden/>
          </w:rPr>
          <w:instrText xml:space="preserve"> PAGEREF _Toc430945171 \h </w:instrText>
        </w:r>
        <w:r>
          <w:rPr>
            <w:webHidden/>
          </w:rPr>
        </w:r>
        <w:r>
          <w:rPr>
            <w:webHidden/>
          </w:rPr>
          <w:fldChar w:fldCharType="separate"/>
        </w:r>
        <w:r>
          <w:rPr>
            <w:webHidden/>
          </w:rPr>
          <w:t>8</w:t>
        </w:r>
        <w:r>
          <w:rPr>
            <w:webHidden/>
          </w:rPr>
          <w:fldChar w:fldCharType="end"/>
        </w:r>
      </w:hyperlink>
    </w:p>
    <w:p w:rsidR="006B1E80" w:rsidRDefault="006B1E80">
      <w:pPr>
        <w:pStyle w:val="TOC1"/>
        <w:rPr>
          <w:rFonts w:eastAsiaTheme="minorEastAsia"/>
          <w:b w:val="0"/>
          <w:color w:val="auto"/>
          <w:kern w:val="0"/>
          <w:sz w:val="22"/>
          <w:szCs w:val="22"/>
          <w:lang w:val="en-US"/>
        </w:rPr>
      </w:pPr>
      <w:hyperlink w:anchor="_Toc430945172" w:history="1">
        <w:r w:rsidRPr="00282EE4">
          <w:rPr>
            <w:rStyle w:val="Hyperlink"/>
            <w:rFonts w:ascii="Calibri" w:hAnsi="Calibri" w:cs="Calibri"/>
          </w:rPr>
          <w:t>5</w:t>
        </w:r>
        <w:r>
          <w:rPr>
            <w:rFonts w:eastAsiaTheme="minorEastAsia"/>
            <w:b w:val="0"/>
            <w:color w:val="auto"/>
            <w:kern w:val="0"/>
            <w:sz w:val="22"/>
            <w:szCs w:val="22"/>
            <w:lang w:val="en-US"/>
          </w:rPr>
          <w:tab/>
        </w:r>
        <w:r w:rsidRPr="00282EE4">
          <w:rPr>
            <w:rStyle w:val="Hyperlink"/>
            <w:rFonts w:ascii="Calibri" w:hAnsi="Calibri" w:cs="Calibri"/>
          </w:rPr>
          <w:t>Software Component Implementation</w:t>
        </w:r>
        <w:r>
          <w:rPr>
            <w:webHidden/>
          </w:rPr>
          <w:tab/>
        </w:r>
        <w:r>
          <w:rPr>
            <w:webHidden/>
          </w:rPr>
          <w:fldChar w:fldCharType="begin"/>
        </w:r>
        <w:r>
          <w:rPr>
            <w:webHidden/>
          </w:rPr>
          <w:instrText xml:space="preserve"> PAGEREF _Toc430945172 \h </w:instrText>
        </w:r>
        <w:r>
          <w:rPr>
            <w:webHidden/>
          </w:rPr>
        </w:r>
        <w:r>
          <w:rPr>
            <w:webHidden/>
          </w:rPr>
          <w:fldChar w:fldCharType="separate"/>
        </w:r>
        <w:r>
          <w:rPr>
            <w:webHidden/>
          </w:rPr>
          <w:t>9</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73" w:history="1">
        <w:r w:rsidRPr="00282EE4">
          <w:rPr>
            <w:rStyle w:val="Hyperlink"/>
          </w:rPr>
          <w:t>5.1</w:t>
        </w:r>
        <w:r>
          <w:rPr>
            <w:rFonts w:asciiTheme="minorHAnsi" w:eastAsiaTheme="minorEastAsia" w:hAnsiTheme="minorHAnsi"/>
            <w:color w:val="auto"/>
            <w:kern w:val="0"/>
            <w:szCs w:val="22"/>
          </w:rPr>
          <w:tab/>
        </w:r>
        <w:r w:rsidRPr="00282EE4">
          <w:rPr>
            <w:rStyle w:val="Hyperlink"/>
          </w:rPr>
          <w:t>Sub-Module Functions</w:t>
        </w:r>
        <w:r>
          <w:rPr>
            <w:webHidden/>
          </w:rPr>
          <w:tab/>
        </w:r>
        <w:r>
          <w:rPr>
            <w:webHidden/>
          </w:rPr>
          <w:fldChar w:fldCharType="begin"/>
        </w:r>
        <w:r>
          <w:rPr>
            <w:webHidden/>
          </w:rPr>
          <w:instrText xml:space="preserve"> PAGEREF _Toc430945173 \h </w:instrText>
        </w:r>
        <w:r>
          <w:rPr>
            <w:webHidden/>
          </w:rPr>
        </w:r>
        <w:r>
          <w:rPr>
            <w:webHidden/>
          </w:rPr>
          <w:fldChar w:fldCharType="separate"/>
        </w:r>
        <w:r>
          <w:rPr>
            <w:webHidden/>
          </w:rPr>
          <w:t>9</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74" w:history="1">
        <w:r w:rsidRPr="00282EE4">
          <w:rPr>
            <w:rStyle w:val="Hyperlink"/>
            <w:rFonts w:cs="Calibri"/>
          </w:rPr>
          <w:t>5.1.1</w:t>
        </w:r>
        <w:r>
          <w:rPr>
            <w:rFonts w:asciiTheme="minorHAnsi" w:eastAsiaTheme="minorEastAsia" w:hAnsiTheme="minorHAnsi"/>
            <w:color w:val="auto"/>
            <w:kern w:val="0"/>
            <w:szCs w:val="22"/>
          </w:rPr>
          <w:tab/>
        </w:r>
        <w:r w:rsidRPr="00282EE4">
          <w:rPr>
            <w:rStyle w:val="Hyperlink"/>
            <w:rFonts w:cs="Calibri"/>
          </w:rPr>
          <w:t>Init: TEstimnInit1</w:t>
        </w:r>
        <w:r>
          <w:rPr>
            <w:webHidden/>
          </w:rPr>
          <w:tab/>
        </w:r>
        <w:r>
          <w:rPr>
            <w:webHidden/>
          </w:rPr>
          <w:fldChar w:fldCharType="begin"/>
        </w:r>
        <w:r>
          <w:rPr>
            <w:webHidden/>
          </w:rPr>
          <w:instrText xml:space="preserve"> PAGEREF _Toc430945174 \h </w:instrText>
        </w:r>
        <w:r>
          <w:rPr>
            <w:webHidden/>
          </w:rPr>
        </w:r>
        <w:r>
          <w:rPr>
            <w:webHidden/>
          </w:rPr>
          <w:fldChar w:fldCharType="separate"/>
        </w:r>
        <w:r>
          <w:rPr>
            <w:webHidden/>
          </w:rPr>
          <w:t>9</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75" w:history="1">
        <w:r w:rsidRPr="00282EE4">
          <w:rPr>
            <w:rStyle w:val="Hyperlink"/>
            <w:rFonts w:cs="Calibri"/>
          </w:rPr>
          <w:t>5.1.1.1</w:t>
        </w:r>
        <w:r>
          <w:rPr>
            <w:rFonts w:asciiTheme="minorHAnsi" w:eastAsiaTheme="minorEastAsia" w:hAnsiTheme="minorHAnsi"/>
            <w:color w:val="auto"/>
            <w:kern w:val="0"/>
            <w:szCs w:val="22"/>
          </w:rPr>
          <w:tab/>
        </w:r>
        <w:r w:rsidRPr="00282EE4">
          <w:rPr>
            <w:rStyle w:val="Hyperlink"/>
            <w:rFonts w:cs="Calibri"/>
          </w:rPr>
          <w:t>Design Rationale</w:t>
        </w:r>
        <w:r>
          <w:rPr>
            <w:webHidden/>
          </w:rPr>
          <w:tab/>
        </w:r>
        <w:r>
          <w:rPr>
            <w:webHidden/>
          </w:rPr>
          <w:fldChar w:fldCharType="begin"/>
        </w:r>
        <w:r>
          <w:rPr>
            <w:webHidden/>
          </w:rPr>
          <w:instrText xml:space="preserve"> PAGEREF _Toc430945175 \h </w:instrText>
        </w:r>
        <w:r>
          <w:rPr>
            <w:webHidden/>
          </w:rPr>
        </w:r>
        <w:r>
          <w:rPr>
            <w:webHidden/>
          </w:rPr>
          <w:fldChar w:fldCharType="separate"/>
        </w:r>
        <w:r>
          <w:rPr>
            <w:webHidden/>
          </w:rPr>
          <w:t>9</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76" w:history="1">
        <w:r w:rsidRPr="00282EE4">
          <w:rPr>
            <w:rStyle w:val="Hyperlink"/>
            <w:rFonts w:cs="Calibri"/>
          </w:rPr>
          <w:t>5.1.1.2</w:t>
        </w:r>
        <w:r>
          <w:rPr>
            <w:rFonts w:asciiTheme="minorHAnsi" w:eastAsiaTheme="minorEastAsia" w:hAnsiTheme="minorHAnsi"/>
            <w:color w:val="auto"/>
            <w:kern w:val="0"/>
            <w:szCs w:val="22"/>
          </w:rPr>
          <w:tab/>
        </w:r>
        <w:r w:rsidRPr="00282EE4">
          <w:rPr>
            <w:rStyle w:val="Hyperlink"/>
            <w:rFonts w:cs="Calibri"/>
          </w:rPr>
          <w:t>Module Outputs</w:t>
        </w:r>
        <w:r>
          <w:rPr>
            <w:webHidden/>
          </w:rPr>
          <w:tab/>
        </w:r>
        <w:r>
          <w:rPr>
            <w:webHidden/>
          </w:rPr>
          <w:fldChar w:fldCharType="begin"/>
        </w:r>
        <w:r>
          <w:rPr>
            <w:webHidden/>
          </w:rPr>
          <w:instrText xml:space="preserve"> PAGEREF _Toc430945176 \h </w:instrText>
        </w:r>
        <w:r>
          <w:rPr>
            <w:webHidden/>
          </w:rPr>
        </w:r>
        <w:r>
          <w:rPr>
            <w:webHidden/>
          </w:rPr>
          <w:fldChar w:fldCharType="separate"/>
        </w:r>
        <w:r>
          <w:rPr>
            <w:webHidden/>
          </w:rPr>
          <w:t>9</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77" w:history="1">
        <w:r w:rsidRPr="00282EE4">
          <w:rPr>
            <w:rStyle w:val="Hyperlink"/>
            <w:rFonts w:cs="Calibri"/>
          </w:rPr>
          <w:t>5.1.2</w:t>
        </w:r>
        <w:r>
          <w:rPr>
            <w:rFonts w:asciiTheme="minorHAnsi" w:eastAsiaTheme="minorEastAsia" w:hAnsiTheme="minorHAnsi"/>
            <w:color w:val="auto"/>
            <w:kern w:val="0"/>
            <w:szCs w:val="22"/>
          </w:rPr>
          <w:tab/>
        </w:r>
        <w:r w:rsidRPr="00282EE4">
          <w:rPr>
            <w:rStyle w:val="Hyperlink"/>
            <w:rFonts w:cs="Calibri"/>
          </w:rPr>
          <w:t>Per: TEstimnPer1</w:t>
        </w:r>
        <w:r>
          <w:rPr>
            <w:webHidden/>
          </w:rPr>
          <w:tab/>
        </w:r>
        <w:r>
          <w:rPr>
            <w:webHidden/>
          </w:rPr>
          <w:fldChar w:fldCharType="begin"/>
        </w:r>
        <w:r>
          <w:rPr>
            <w:webHidden/>
          </w:rPr>
          <w:instrText xml:space="preserve"> PAGEREF _Toc430945177 \h </w:instrText>
        </w:r>
        <w:r>
          <w:rPr>
            <w:webHidden/>
          </w:rPr>
        </w:r>
        <w:r>
          <w:rPr>
            <w:webHidden/>
          </w:rPr>
          <w:fldChar w:fldCharType="separate"/>
        </w:r>
        <w:r>
          <w:rPr>
            <w:webHidden/>
          </w:rPr>
          <w:t>9</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78" w:history="1">
        <w:r w:rsidRPr="00282EE4">
          <w:rPr>
            <w:rStyle w:val="Hyperlink"/>
            <w:rFonts w:cs="Calibri"/>
          </w:rPr>
          <w:t>5.1.2.1</w:t>
        </w:r>
        <w:r>
          <w:rPr>
            <w:rFonts w:asciiTheme="minorHAnsi" w:eastAsiaTheme="minorEastAsia" w:hAnsiTheme="minorHAnsi"/>
            <w:color w:val="auto"/>
            <w:kern w:val="0"/>
            <w:szCs w:val="22"/>
          </w:rPr>
          <w:tab/>
        </w:r>
        <w:r w:rsidRPr="00282EE4">
          <w:rPr>
            <w:rStyle w:val="Hyperlink"/>
            <w:rFonts w:cs="Calibri"/>
          </w:rPr>
          <w:t>Design Rationale</w:t>
        </w:r>
        <w:r>
          <w:rPr>
            <w:webHidden/>
          </w:rPr>
          <w:tab/>
        </w:r>
        <w:r>
          <w:rPr>
            <w:webHidden/>
          </w:rPr>
          <w:fldChar w:fldCharType="begin"/>
        </w:r>
        <w:r>
          <w:rPr>
            <w:webHidden/>
          </w:rPr>
          <w:instrText xml:space="preserve"> PAGEREF _Toc430945178 \h </w:instrText>
        </w:r>
        <w:r>
          <w:rPr>
            <w:webHidden/>
          </w:rPr>
        </w:r>
        <w:r>
          <w:rPr>
            <w:webHidden/>
          </w:rPr>
          <w:fldChar w:fldCharType="separate"/>
        </w:r>
        <w:r>
          <w:rPr>
            <w:webHidden/>
          </w:rPr>
          <w:t>9</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79" w:history="1">
        <w:r w:rsidRPr="00282EE4">
          <w:rPr>
            <w:rStyle w:val="Hyperlink"/>
            <w:rFonts w:cs="Calibri"/>
          </w:rPr>
          <w:t>5.1.2.2</w:t>
        </w:r>
        <w:r>
          <w:rPr>
            <w:rFonts w:asciiTheme="minorHAnsi" w:eastAsiaTheme="minorEastAsia" w:hAnsiTheme="minorHAnsi"/>
            <w:color w:val="auto"/>
            <w:kern w:val="0"/>
            <w:szCs w:val="22"/>
          </w:rPr>
          <w:tab/>
        </w:r>
        <w:r w:rsidRPr="00282EE4">
          <w:rPr>
            <w:rStyle w:val="Hyperlink"/>
            <w:rFonts w:cs="Calibri"/>
          </w:rPr>
          <w:t>Store Module Inputs to Local copies</w:t>
        </w:r>
        <w:r>
          <w:rPr>
            <w:webHidden/>
          </w:rPr>
          <w:tab/>
        </w:r>
        <w:r>
          <w:rPr>
            <w:webHidden/>
          </w:rPr>
          <w:fldChar w:fldCharType="begin"/>
        </w:r>
        <w:r>
          <w:rPr>
            <w:webHidden/>
          </w:rPr>
          <w:instrText xml:space="preserve"> PAGEREF _Toc430945179 \h </w:instrText>
        </w:r>
        <w:r>
          <w:rPr>
            <w:webHidden/>
          </w:rPr>
        </w:r>
        <w:r>
          <w:rPr>
            <w:webHidden/>
          </w:rPr>
          <w:fldChar w:fldCharType="separate"/>
        </w:r>
        <w:r>
          <w:rPr>
            <w:webHidden/>
          </w:rPr>
          <w:t>9</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80" w:history="1">
        <w:r w:rsidRPr="00282EE4">
          <w:rPr>
            <w:rStyle w:val="Hyperlink"/>
            <w:rFonts w:cs="Calibri"/>
          </w:rPr>
          <w:t>5.1.2.3</w:t>
        </w:r>
        <w:r>
          <w:rPr>
            <w:rFonts w:asciiTheme="minorHAnsi" w:eastAsiaTheme="minorEastAsia" w:hAnsiTheme="minorHAnsi"/>
            <w:color w:val="auto"/>
            <w:kern w:val="0"/>
            <w:szCs w:val="22"/>
          </w:rPr>
          <w:tab/>
        </w:r>
        <w:r w:rsidRPr="00282EE4">
          <w:rPr>
            <w:rStyle w:val="Hyperlink"/>
            <w:rFonts w:cs="Calibri"/>
          </w:rPr>
          <w:t>(Processing of function)………</w:t>
        </w:r>
        <w:r>
          <w:rPr>
            <w:webHidden/>
          </w:rPr>
          <w:tab/>
        </w:r>
        <w:r>
          <w:rPr>
            <w:webHidden/>
          </w:rPr>
          <w:fldChar w:fldCharType="begin"/>
        </w:r>
        <w:r>
          <w:rPr>
            <w:webHidden/>
          </w:rPr>
          <w:instrText xml:space="preserve"> PAGEREF _Toc430945180 \h </w:instrText>
        </w:r>
        <w:r>
          <w:rPr>
            <w:webHidden/>
          </w:rPr>
        </w:r>
        <w:r>
          <w:rPr>
            <w:webHidden/>
          </w:rPr>
          <w:fldChar w:fldCharType="separate"/>
        </w:r>
        <w:r>
          <w:rPr>
            <w:webHidden/>
          </w:rPr>
          <w:t>9</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81" w:history="1">
        <w:r w:rsidRPr="00282EE4">
          <w:rPr>
            <w:rStyle w:val="Hyperlink"/>
            <w:rFonts w:cs="Calibri"/>
          </w:rPr>
          <w:t>5.1.2.4</w:t>
        </w:r>
        <w:r>
          <w:rPr>
            <w:rFonts w:asciiTheme="minorHAnsi" w:eastAsiaTheme="minorEastAsia" w:hAnsiTheme="minorHAnsi"/>
            <w:color w:val="auto"/>
            <w:kern w:val="0"/>
            <w:szCs w:val="22"/>
          </w:rPr>
          <w:tab/>
        </w:r>
        <w:r w:rsidRPr="00282EE4">
          <w:rPr>
            <w:rStyle w:val="Hyperlink"/>
            <w:rFonts w:cs="Calibri"/>
          </w:rPr>
          <w:t>Store Local copy of outputs into Module Outputs</w:t>
        </w:r>
        <w:r>
          <w:rPr>
            <w:webHidden/>
          </w:rPr>
          <w:tab/>
        </w:r>
        <w:r>
          <w:rPr>
            <w:webHidden/>
          </w:rPr>
          <w:fldChar w:fldCharType="begin"/>
        </w:r>
        <w:r>
          <w:rPr>
            <w:webHidden/>
          </w:rPr>
          <w:instrText xml:space="preserve"> PAGEREF _Toc430945181 \h </w:instrText>
        </w:r>
        <w:r>
          <w:rPr>
            <w:webHidden/>
          </w:rPr>
        </w:r>
        <w:r>
          <w:rPr>
            <w:webHidden/>
          </w:rPr>
          <w:fldChar w:fldCharType="separate"/>
        </w:r>
        <w:r>
          <w:rPr>
            <w:webHidden/>
          </w:rPr>
          <w:t>9</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82" w:history="1">
        <w:r w:rsidRPr="00282EE4">
          <w:rPr>
            <w:rStyle w:val="Hyperlink"/>
          </w:rPr>
          <w:t>5.2</w:t>
        </w:r>
        <w:r>
          <w:rPr>
            <w:rFonts w:asciiTheme="minorHAnsi" w:eastAsiaTheme="minorEastAsia" w:hAnsiTheme="minorHAnsi"/>
            <w:color w:val="auto"/>
            <w:kern w:val="0"/>
            <w:szCs w:val="22"/>
          </w:rPr>
          <w:tab/>
        </w:r>
        <w:r w:rsidRPr="00282EE4">
          <w:rPr>
            <w:rStyle w:val="Hyperlink"/>
          </w:rPr>
          <w:t>Server Runables</w:t>
        </w:r>
        <w:r>
          <w:rPr>
            <w:webHidden/>
          </w:rPr>
          <w:tab/>
        </w:r>
        <w:r>
          <w:rPr>
            <w:webHidden/>
          </w:rPr>
          <w:fldChar w:fldCharType="begin"/>
        </w:r>
        <w:r>
          <w:rPr>
            <w:webHidden/>
          </w:rPr>
          <w:instrText xml:space="preserve"> PAGEREF _Toc430945182 \h </w:instrText>
        </w:r>
        <w:r>
          <w:rPr>
            <w:webHidden/>
          </w:rPr>
        </w:r>
        <w:r>
          <w:rPr>
            <w:webHidden/>
          </w:rPr>
          <w:fldChar w:fldCharType="separate"/>
        </w:r>
        <w:r>
          <w:rPr>
            <w:webHidden/>
          </w:rPr>
          <w:t>9</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83" w:history="1">
        <w:r w:rsidRPr="00282EE4">
          <w:rPr>
            <w:rStyle w:val="Hyperlink"/>
            <w:rFonts w:cs="Calibri"/>
          </w:rPr>
          <w:t>5.3</w:t>
        </w:r>
        <w:r>
          <w:rPr>
            <w:rFonts w:asciiTheme="minorHAnsi" w:eastAsiaTheme="minorEastAsia" w:hAnsiTheme="minorHAnsi"/>
            <w:color w:val="auto"/>
            <w:kern w:val="0"/>
            <w:szCs w:val="22"/>
          </w:rPr>
          <w:tab/>
        </w:r>
        <w:r w:rsidRPr="00282EE4">
          <w:rPr>
            <w:rStyle w:val="Hyperlink"/>
            <w:rFonts w:cs="Calibri"/>
          </w:rPr>
          <w:t>Interrupt Functions</w:t>
        </w:r>
        <w:r>
          <w:rPr>
            <w:webHidden/>
          </w:rPr>
          <w:tab/>
        </w:r>
        <w:r>
          <w:rPr>
            <w:webHidden/>
          </w:rPr>
          <w:fldChar w:fldCharType="begin"/>
        </w:r>
        <w:r>
          <w:rPr>
            <w:webHidden/>
          </w:rPr>
          <w:instrText xml:space="preserve"> PAGEREF _Toc430945183 \h </w:instrText>
        </w:r>
        <w:r>
          <w:rPr>
            <w:webHidden/>
          </w:rPr>
        </w:r>
        <w:r>
          <w:rPr>
            <w:webHidden/>
          </w:rPr>
          <w:fldChar w:fldCharType="separate"/>
        </w:r>
        <w:r>
          <w:rPr>
            <w:webHidden/>
          </w:rPr>
          <w:t>9</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84" w:history="1">
        <w:r w:rsidRPr="00282EE4">
          <w:rPr>
            <w:rStyle w:val="Hyperlink"/>
            <w:rFonts w:cs="Calibri"/>
          </w:rPr>
          <w:t>5.4</w:t>
        </w:r>
        <w:r>
          <w:rPr>
            <w:rFonts w:asciiTheme="minorHAnsi" w:eastAsiaTheme="minorEastAsia" w:hAnsiTheme="minorHAnsi"/>
            <w:color w:val="auto"/>
            <w:kern w:val="0"/>
            <w:szCs w:val="22"/>
          </w:rPr>
          <w:tab/>
        </w:r>
        <w:r w:rsidRPr="00282EE4">
          <w:rPr>
            <w:rStyle w:val="Hyperlink"/>
            <w:rFonts w:cs="Calibri"/>
          </w:rPr>
          <w:t>Module Internal (Local) Functions</w:t>
        </w:r>
        <w:r>
          <w:rPr>
            <w:webHidden/>
          </w:rPr>
          <w:tab/>
        </w:r>
        <w:r>
          <w:rPr>
            <w:webHidden/>
          </w:rPr>
          <w:fldChar w:fldCharType="begin"/>
        </w:r>
        <w:r>
          <w:rPr>
            <w:webHidden/>
          </w:rPr>
          <w:instrText xml:space="preserve"> PAGEREF _Toc430945184 \h </w:instrText>
        </w:r>
        <w:r>
          <w:rPr>
            <w:webHidden/>
          </w:rPr>
        </w:r>
        <w:r>
          <w:rPr>
            <w:webHidden/>
          </w:rPr>
          <w:fldChar w:fldCharType="separate"/>
        </w:r>
        <w:r>
          <w:rPr>
            <w:webHidden/>
          </w:rPr>
          <w:t>9</w:t>
        </w:r>
        <w:r>
          <w:rPr>
            <w:webHidden/>
          </w:rPr>
          <w:fldChar w:fldCharType="end"/>
        </w:r>
      </w:hyperlink>
    </w:p>
    <w:p w:rsidR="006B1E80" w:rsidRDefault="006B1E80">
      <w:pPr>
        <w:pStyle w:val="TOC2"/>
        <w:rPr>
          <w:rFonts w:asciiTheme="minorHAnsi" w:eastAsiaTheme="minorEastAsia" w:hAnsiTheme="minorHAnsi"/>
          <w:color w:val="auto"/>
          <w:kern w:val="0"/>
          <w:szCs w:val="22"/>
        </w:rPr>
      </w:pPr>
      <w:hyperlink w:anchor="_Toc430945185" w:history="1">
        <w:r w:rsidRPr="00282EE4">
          <w:rPr>
            <w:rStyle w:val="Hyperlink"/>
            <w:rFonts w:cs="Calibri"/>
          </w:rPr>
          <w:t>5.5</w:t>
        </w:r>
        <w:r>
          <w:rPr>
            <w:rFonts w:asciiTheme="minorHAnsi" w:eastAsiaTheme="minorEastAsia" w:hAnsiTheme="minorHAnsi"/>
            <w:color w:val="auto"/>
            <w:kern w:val="0"/>
            <w:szCs w:val="22"/>
          </w:rPr>
          <w:tab/>
        </w:r>
        <w:r w:rsidRPr="00282EE4">
          <w:rPr>
            <w:rStyle w:val="Hyperlink"/>
            <w:rFonts w:cs="Calibri"/>
          </w:rPr>
          <w:t>GLOBAL Function/Macro Definitions</w:t>
        </w:r>
        <w:r>
          <w:rPr>
            <w:webHidden/>
          </w:rPr>
          <w:tab/>
        </w:r>
        <w:r>
          <w:rPr>
            <w:webHidden/>
          </w:rPr>
          <w:fldChar w:fldCharType="begin"/>
        </w:r>
        <w:r>
          <w:rPr>
            <w:webHidden/>
          </w:rPr>
          <w:instrText xml:space="preserve"> PAGEREF _Toc430945185 \h </w:instrText>
        </w:r>
        <w:r>
          <w:rPr>
            <w:webHidden/>
          </w:rPr>
        </w:r>
        <w:r>
          <w:rPr>
            <w:webHidden/>
          </w:rPr>
          <w:fldChar w:fldCharType="separate"/>
        </w:r>
        <w:r>
          <w:rPr>
            <w:webHidden/>
          </w:rPr>
          <w:t>9</w:t>
        </w:r>
        <w:r>
          <w:rPr>
            <w:webHidden/>
          </w:rPr>
          <w:fldChar w:fldCharType="end"/>
        </w:r>
      </w:hyperlink>
    </w:p>
    <w:p w:rsidR="006B1E80" w:rsidRDefault="006B1E80">
      <w:pPr>
        <w:pStyle w:val="TOC1"/>
        <w:rPr>
          <w:rFonts w:eastAsiaTheme="minorEastAsia"/>
          <w:b w:val="0"/>
          <w:color w:val="auto"/>
          <w:kern w:val="0"/>
          <w:sz w:val="22"/>
          <w:szCs w:val="22"/>
          <w:lang w:val="en-US"/>
        </w:rPr>
      </w:pPr>
      <w:hyperlink w:anchor="_Toc430945186" w:history="1">
        <w:r w:rsidRPr="00282EE4">
          <w:rPr>
            <w:rStyle w:val="Hyperlink"/>
            <w:rFonts w:ascii="Calibri" w:hAnsi="Calibri" w:cs="Calibri"/>
          </w:rPr>
          <w:t>6</w:t>
        </w:r>
        <w:r>
          <w:rPr>
            <w:rFonts w:eastAsiaTheme="minorEastAsia"/>
            <w:b w:val="0"/>
            <w:color w:val="auto"/>
            <w:kern w:val="0"/>
            <w:sz w:val="22"/>
            <w:szCs w:val="22"/>
            <w:lang w:val="en-US"/>
          </w:rPr>
          <w:tab/>
        </w:r>
        <w:r w:rsidRPr="00282EE4">
          <w:rPr>
            <w:rStyle w:val="Hyperlink"/>
            <w:rFonts w:ascii="Calibri" w:hAnsi="Calibri"/>
          </w:rPr>
          <w:t>Known</w:t>
        </w:r>
        <w:r w:rsidRPr="00282EE4">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_Toc430945186 \h </w:instrText>
        </w:r>
        <w:r>
          <w:rPr>
            <w:webHidden/>
          </w:rPr>
        </w:r>
        <w:r>
          <w:rPr>
            <w:webHidden/>
          </w:rPr>
          <w:fldChar w:fldCharType="separate"/>
        </w:r>
        <w:r>
          <w:rPr>
            <w:webHidden/>
          </w:rPr>
          <w:t>10</w:t>
        </w:r>
        <w:r>
          <w:rPr>
            <w:webHidden/>
          </w:rPr>
          <w:fldChar w:fldCharType="end"/>
        </w:r>
      </w:hyperlink>
    </w:p>
    <w:p w:rsidR="006B1E80" w:rsidRDefault="006B1E80">
      <w:pPr>
        <w:pStyle w:val="TOC1"/>
        <w:rPr>
          <w:rFonts w:eastAsiaTheme="minorEastAsia"/>
          <w:b w:val="0"/>
          <w:color w:val="auto"/>
          <w:kern w:val="0"/>
          <w:sz w:val="22"/>
          <w:szCs w:val="22"/>
          <w:lang w:val="en-US"/>
        </w:rPr>
      </w:pPr>
      <w:hyperlink w:anchor="_Toc430945187" w:history="1">
        <w:r w:rsidRPr="00282EE4">
          <w:rPr>
            <w:rStyle w:val="Hyperlink"/>
            <w:rFonts w:ascii="Calibri" w:hAnsi="Calibri" w:cs="Calibri"/>
          </w:rPr>
          <w:t>7</w:t>
        </w:r>
        <w:r>
          <w:rPr>
            <w:rFonts w:eastAsiaTheme="minorEastAsia"/>
            <w:b w:val="0"/>
            <w:color w:val="auto"/>
            <w:kern w:val="0"/>
            <w:sz w:val="22"/>
            <w:szCs w:val="22"/>
            <w:lang w:val="en-US"/>
          </w:rPr>
          <w:tab/>
        </w:r>
        <w:r w:rsidRPr="00282EE4">
          <w:rPr>
            <w:rStyle w:val="Hyperlink"/>
            <w:rFonts w:ascii="Calibri" w:hAnsi="Calibri" w:cs="Calibri"/>
          </w:rPr>
          <w:t>UNIT TEST CONSIDERATION</w:t>
        </w:r>
        <w:r>
          <w:rPr>
            <w:webHidden/>
          </w:rPr>
          <w:tab/>
        </w:r>
        <w:r>
          <w:rPr>
            <w:webHidden/>
          </w:rPr>
          <w:fldChar w:fldCharType="begin"/>
        </w:r>
        <w:r>
          <w:rPr>
            <w:webHidden/>
          </w:rPr>
          <w:instrText xml:space="preserve"> PAGEREF _Toc430945187 \h </w:instrText>
        </w:r>
        <w:r>
          <w:rPr>
            <w:webHidden/>
          </w:rPr>
        </w:r>
        <w:r>
          <w:rPr>
            <w:webHidden/>
          </w:rPr>
          <w:fldChar w:fldCharType="separate"/>
        </w:r>
        <w:r>
          <w:rPr>
            <w:webHidden/>
          </w:rPr>
          <w:t>11</w:t>
        </w:r>
        <w:r>
          <w:rPr>
            <w:webHidden/>
          </w:rPr>
          <w:fldChar w:fldCharType="end"/>
        </w:r>
      </w:hyperlink>
    </w:p>
    <w:p w:rsidR="006B1E80" w:rsidRDefault="006B1E80">
      <w:pPr>
        <w:pStyle w:val="TOC1"/>
        <w:tabs>
          <w:tab w:val="left" w:pos="1400"/>
        </w:tabs>
        <w:rPr>
          <w:rFonts w:eastAsiaTheme="minorEastAsia"/>
          <w:b w:val="0"/>
          <w:color w:val="auto"/>
          <w:kern w:val="0"/>
          <w:sz w:val="22"/>
          <w:szCs w:val="22"/>
          <w:lang w:val="en-US"/>
        </w:rPr>
      </w:pPr>
      <w:hyperlink w:anchor="_Toc430945188" w:history="1">
        <w:r w:rsidRPr="00282EE4">
          <w:rPr>
            <w:rStyle w:val="Hyperlink"/>
          </w:rPr>
          <w:t>Appendix A</w:t>
        </w:r>
        <w:r>
          <w:rPr>
            <w:rFonts w:eastAsiaTheme="minorEastAsia"/>
            <w:b w:val="0"/>
            <w:color w:val="auto"/>
            <w:kern w:val="0"/>
            <w:sz w:val="22"/>
            <w:szCs w:val="22"/>
            <w:lang w:val="en-US"/>
          </w:rPr>
          <w:tab/>
        </w:r>
        <w:r w:rsidRPr="00282EE4">
          <w:rPr>
            <w:rStyle w:val="Hyperlink"/>
          </w:rPr>
          <w:t>Abbreviations and Acronyms</w:t>
        </w:r>
        <w:r>
          <w:rPr>
            <w:webHidden/>
          </w:rPr>
          <w:tab/>
        </w:r>
        <w:r>
          <w:rPr>
            <w:webHidden/>
          </w:rPr>
          <w:fldChar w:fldCharType="begin"/>
        </w:r>
        <w:r>
          <w:rPr>
            <w:webHidden/>
          </w:rPr>
          <w:instrText xml:space="preserve"> PAGEREF _Toc430945188 \h </w:instrText>
        </w:r>
        <w:r>
          <w:rPr>
            <w:webHidden/>
          </w:rPr>
        </w:r>
        <w:r>
          <w:rPr>
            <w:webHidden/>
          </w:rPr>
          <w:fldChar w:fldCharType="separate"/>
        </w:r>
        <w:r>
          <w:rPr>
            <w:webHidden/>
          </w:rPr>
          <w:t>12</w:t>
        </w:r>
        <w:r>
          <w:rPr>
            <w:webHidden/>
          </w:rPr>
          <w:fldChar w:fldCharType="end"/>
        </w:r>
      </w:hyperlink>
    </w:p>
    <w:p w:rsidR="006B1E80" w:rsidRDefault="006B1E80">
      <w:pPr>
        <w:pStyle w:val="TOC1"/>
        <w:tabs>
          <w:tab w:val="left" w:pos="1400"/>
        </w:tabs>
        <w:rPr>
          <w:rFonts w:eastAsiaTheme="minorEastAsia"/>
          <w:b w:val="0"/>
          <w:color w:val="auto"/>
          <w:kern w:val="0"/>
          <w:sz w:val="22"/>
          <w:szCs w:val="22"/>
          <w:lang w:val="en-US"/>
        </w:rPr>
      </w:pPr>
      <w:hyperlink w:anchor="_Toc430945189" w:history="1">
        <w:r w:rsidRPr="00282EE4">
          <w:rPr>
            <w:rStyle w:val="Hyperlink"/>
          </w:rPr>
          <w:t>Appendix B</w:t>
        </w:r>
        <w:r>
          <w:rPr>
            <w:rFonts w:eastAsiaTheme="minorEastAsia"/>
            <w:b w:val="0"/>
            <w:color w:val="auto"/>
            <w:kern w:val="0"/>
            <w:sz w:val="22"/>
            <w:szCs w:val="22"/>
            <w:lang w:val="en-US"/>
          </w:rPr>
          <w:tab/>
        </w:r>
        <w:r w:rsidRPr="00282EE4">
          <w:rPr>
            <w:rStyle w:val="Hyperlink"/>
          </w:rPr>
          <w:t>Glossary</w:t>
        </w:r>
        <w:r>
          <w:rPr>
            <w:webHidden/>
          </w:rPr>
          <w:tab/>
        </w:r>
        <w:r>
          <w:rPr>
            <w:webHidden/>
          </w:rPr>
          <w:fldChar w:fldCharType="begin"/>
        </w:r>
        <w:r>
          <w:rPr>
            <w:webHidden/>
          </w:rPr>
          <w:instrText xml:space="preserve"> PAGEREF _Toc430945189 \h </w:instrText>
        </w:r>
        <w:r>
          <w:rPr>
            <w:webHidden/>
          </w:rPr>
        </w:r>
        <w:r>
          <w:rPr>
            <w:webHidden/>
          </w:rPr>
          <w:fldChar w:fldCharType="separate"/>
        </w:r>
        <w:r>
          <w:rPr>
            <w:webHidden/>
          </w:rPr>
          <w:t>13</w:t>
        </w:r>
        <w:r>
          <w:rPr>
            <w:webHidden/>
          </w:rPr>
          <w:fldChar w:fldCharType="end"/>
        </w:r>
      </w:hyperlink>
    </w:p>
    <w:p w:rsidR="006B1E80" w:rsidRDefault="006B1E80">
      <w:pPr>
        <w:pStyle w:val="TOC1"/>
        <w:tabs>
          <w:tab w:val="left" w:pos="1400"/>
        </w:tabs>
        <w:rPr>
          <w:rFonts w:eastAsiaTheme="minorEastAsia"/>
          <w:b w:val="0"/>
          <w:color w:val="auto"/>
          <w:kern w:val="0"/>
          <w:sz w:val="22"/>
          <w:szCs w:val="22"/>
          <w:lang w:val="en-US"/>
        </w:rPr>
      </w:pPr>
      <w:hyperlink w:anchor="_Toc430945190" w:history="1">
        <w:r w:rsidRPr="00282EE4">
          <w:rPr>
            <w:rStyle w:val="Hyperlink"/>
          </w:rPr>
          <w:t>Appendix C</w:t>
        </w:r>
        <w:r>
          <w:rPr>
            <w:rFonts w:eastAsiaTheme="minorEastAsia"/>
            <w:b w:val="0"/>
            <w:color w:val="auto"/>
            <w:kern w:val="0"/>
            <w:sz w:val="22"/>
            <w:szCs w:val="22"/>
            <w:lang w:val="en-US"/>
          </w:rPr>
          <w:tab/>
        </w:r>
        <w:r w:rsidRPr="00282EE4">
          <w:rPr>
            <w:rStyle w:val="Hyperlink"/>
          </w:rPr>
          <w:t>References</w:t>
        </w:r>
        <w:r>
          <w:rPr>
            <w:webHidden/>
          </w:rPr>
          <w:tab/>
        </w:r>
        <w:r>
          <w:rPr>
            <w:webHidden/>
          </w:rPr>
          <w:fldChar w:fldCharType="begin"/>
        </w:r>
        <w:r>
          <w:rPr>
            <w:webHidden/>
          </w:rPr>
          <w:instrText xml:space="preserve"> PAGEREF _Toc430945190 \h </w:instrText>
        </w:r>
        <w:r>
          <w:rPr>
            <w:webHidden/>
          </w:rPr>
        </w:r>
        <w:r>
          <w:rPr>
            <w:webHidden/>
          </w:rPr>
          <w:fldChar w:fldCharType="separate"/>
        </w:r>
        <w:r>
          <w:rPr>
            <w:webHidden/>
          </w:rPr>
          <w:t>14</w:t>
        </w:r>
        <w:r>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30945160"/>
      <w:r w:rsidRPr="00A158C7">
        <w:lastRenderedPageBreak/>
        <w:t>Introduction</w:t>
      </w:r>
      <w:bookmarkEnd w:id="5"/>
    </w:p>
    <w:p w:rsidR="00063A7A" w:rsidRPr="00A158C7" w:rsidRDefault="00FE5DF5" w:rsidP="000B37D5">
      <w:pPr>
        <w:pStyle w:val="Heading2"/>
      </w:pPr>
      <w:bookmarkStart w:id="6" w:name="_Toc430945161"/>
      <w:r w:rsidRPr="00A158C7">
        <w:t>Purpose</w:t>
      </w:r>
      <w:bookmarkEnd w:id="6"/>
    </w:p>
    <w:p w:rsidR="00DC0959" w:rsidRPr="00A158C7" w:rsidRDefault="00DC0959" w:rsidP="00DC0959">
      <w:pPr>
        <w:rPr>
          <w:lang w:bidi="ar-SA"/>
        </w:rPr>
      </w:pPr>
    </w:p>
    <w:p w:rsidR="00AE0435" w:rsidRPr="00A158C7" w:rsidRDefault="00FE5DF5" w:rsidP="000B37D5">
      <w:pPr>
        <w:pStyle w:val="Heading2"/>
      </w:pPr>
      <w:bookmarkStart w:id="7" w:name="_Toc430945162"/>
      <w:r w:rsidRPr="00A158C7">
        <w:t>Scope</w:t>
      </w:r>
      <w:bookmarkEnd w:id="7"/>
    </w:p>
    <w:p w:rsidR="00DC0959" w:rsidRPr="008C412D" w:rsidRDefault="00DC0959" w:rsidP="00401A9E">
      <w:pPr>
        <w:keepNext/>
        <w:ind w:left="720"/>
        <w:jc w:val="both"/>
        <w:rPr>
          <w:rFonts w:cs="Calibri"/>
        </w:rPr>
      </w:pPr>
    </w:p>
    <w:p w:rsidR="00F95E33" w:rsidRPr="00A158C7" w:rsidRDefault="00F95E33" w:rsidP="00E16D14"/>
    <w:p w:rsidR="00312179" w:rsidRDefault="000A5AA5" w:rsidP="000A5AA5">
      <w:pPr>
        <w:pStyle w:val="Heading1"/>
      </w:pPr>
      <w:bookmarkStart w:id="8" w:name="_Toc406065228"/>
      <w:bookmarkStart w:id="9" w:name="_Toc430945163"/>
      <w:bookmarkEnd w:id="0"/>
      <w:bookmarkEnd w:id="1"/>
      <w:bookmarkEnd w:id="2"/>
      <w:bookmarkEnd w:id="3"/>
      <w:bookmarkEnd w:id="4"/>
      <w:proofErr w:type="spellStart"/>
      <w:r w:rsidRPr="000A5AA5">
        <w:lastRenderedPageBreak/>
        <w:t>TEstimn</w:t>
      </w:r>
      <w:proofErr w:type="spellEnd"/>
      <w:r w:rsidR="00D229A6">
        <w:t xml:space="preserve"> </w:t>
      </w:r>
      <w:r w:rsidR="00D229A6" w:rsidRPr="00AA38E8">
        <w:t>High-Level Description</w:t>
      </w:r>
      <w:bookmarkEnd w:id="8"/>
      <w:bookmarkEnd w:id="9"/>
    </w:p>
    <w:p w:rsidR="00E379A5" w:rsidRPr="00E379A5" w:rsidRDefault="00E379A5" w:rsidP="00E379A5">
      <w:pPr>
        <w:rPr>
          <w:lang w:bidi="ar-SA"/>
        </w:rPr>
      </w:pPr>
      <w:r>
        <w:rPr>
          <w:lang w:bidi="ar-SA"/>
        </w:rPr>
        <w:t>Refer to FDD</w:t>
      </w:r>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0" w:name="_Toc406065229"/>
      <w:bookmarkStart w:id="11" w:name="_Toc430945164"/>
      <w:r w:rsidRPr="00AA38E8">
        <w:rPr>
          <w:rFonts w:ascii="Calibri" w:hAnsi="Calibri" w:cs="Calibri"/>
        </w:rPr>
        <w:lastRenderedPageBreak/>
        <w:t>Design details of software module</w:t>
      </w:r>
      <w:bookmarkEnd w:id="10"/>
      <w:bookmarkEnd w:id="11"/>
    </w:p>
    <w:p w:rsidR="00D229A6" w:rsidRPr="00AA38E8" w:rsidRDefault="00D229A6" w:rsidP="001F01F0">
      <w:pPr>
        <w:pStyle w:val="Heading2"/>
      </w:pPr>
      <w:bookmarkStart w:id="12" w:name="_Toc406065230"/>
      <w:bookmarkStart w:id="13" w:name="_Toc430945165"/>
      <w:r w:rsidRPr="00D229A6">
        <w:t>Graphical</w:t>
      </w:r>
      <w:r>
        <w:t xml:space="preserve"> representation of </w:t>
      </w:r>
      <w:bookmarkEnd w:id="12"/>
      <w:proofErr w:type="spellStart"/>
      <w:r w:rsidR="0012696E">
        <w:rPr>
          <w:rFonts w:ascii="Calibri" w:hAnsi="Calibri" w:cs="Calibri"/>
        </w:rPr>
        <w:t>TEstimn</w:t>
      </w:r>
      <w:bookmarkEnd w:id="13"/>
      <w:proofErr w:type="spellEnd"/>
    </w:p>
    <w:p w:rsidR="00D229A6" w:rsidRDefault="002A5D94" w:rsidP="00D229A6">
      <w:pPr>
        <w:rPr>
          <w:rFonts w:cs="Calibri"/>
          <w:i/>
        </w:rPr>
      </w:pPr>
      <w:r>
        <w:rPr>
          <w:noProof/>
          <w:lang w:bidi="ar-SA"/>
        </w:rPr>
        <w:drawing>
          <wp:inline distT="0" distB="0" distL="0" distR="0" wp14:anchorId="3831E152" wp14:editId="005D6B0D">
            <wp:extent cx="3116580" cy="6332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6580" cy="6332220"/>
                    </a:xfrm>
                    <a:prstGeom prst="rect">
                      <a:avLst/>
                    </a:prstGeom>
                  </pic:spPr>
                </pic:pic>
              </a:graphicData>
            </a:graphic>
          </wp:inline>
        </w:drawing>
      </w:r>
      <w:r w:rsidR="00D229A6">
        <w:rPr>
          <w:rFonts w:cs="Calibri"/>
          <w:i/>
        </w:rPr>
        <w:t xml:space="preserve"> </w:t>
      </w:r>
    </w:p>
    <w:p w:rsidR="00D229A6" w:rsidRPr="002D6391" w:rsidRDefault="00D229A6" w:rsidP="00D229A6">
      <w:pPr>
        <w:pStyle w:val="Heading2"/>
        <w:rPr>
          <w:rFonts w:ascii="Calibri" w:hAnsi="Calibri" w:cs="Calibri"/>
        </w:rPr>
      </w:pPr>
      <w:bookmarkStart w:id="14" w:name="_Toc406065231"/>
      <w:bookmarkStart w:id="15" w:name="_Toc430945166"/>
      <w:r w:rsidRPr="002D6391">
        <w:rPr>
          <w:rFonts w:ascii="Calibri" w:hAnsi="Calibri" w:cs="Calibri"/>
        </w:rPr>
        <w:t>Data Flow Diagram</w:t>
      </w:r>
      <w:bookmarkEnd w:id="14"/>
      <w:bookmarkEnd w:id="15"/>
    </w:p>
    <w:p w:rsidR="00D229A6" w:rsidRPr="002B094F" w:rsidRDefault="00C3002A" w:rsidP="00D229A6">
      <w:pPr>
        <w:rPr>
          <w:rFonts w:cs="Calibri"/>
        </w:rPr>
      </w:pPr>
      <w:r>
        <w:rPr>
          <w:rFonts w:cs="Calibri"/>
        </w:rPr>
        <w:t>Refer FDD</w:t>
      </w:r>
    </w:p>
    <w:p w:rsidR="00D229A6" w:rsidRPr="002D6391" w:rsidRDefault="00AC4CD8" w:rsidP="00387BF4">
      <w:pPr>
        <w:pStyle w:val="Heading3"/>
        <w:tabs>
          <w:tab w:val="clear" w:pos="1017"/>
        </w:tabs>
        <w:ind w:left="562" w:hanging="562"/>
        <w:rPr>
          <w:rFonts w:ascii="Calibri" w:hAnsi="Calibri" w:cs="Calibri"/>
        </w:rPr>
      </w:pPr>
      <w:bookmarkStart w:id="16" w:name="_Toc375924736"/>
      <w:bookmarkStart w:id="17" w:name="_Toc406065232"/>
      <w:bookmarkStart w:id="18" w:name="_Toc430945167"/>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6"/>
      <w:bookmarkEnd w:id="17"/>
      <w:bookmarkEnd w:id="18"/>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19" w:name="_Toc375924737"/>
      <w:bookmarkStart w:id="20" w:name="_Toc406065233"/>
      <w:bookmarkStart w:id="21" w:name="_Toc430945168"/>
      <w:r>
        <w:rPr>
          <w:rFonts w:ascii="Calibri" w:hAnsi="Calibri"/>
        </w:rPr>
        <w:lastRenderedPageBreak/>
        <w:t>Function</w:t>
      </w:r>
      <w:r w:rsidRPr="00231F0B">
        <w:rPr>
          <w:rFonts w:ascii="Calibri" w:hAnsi="Calibri"/>
        </w:rPr>
        <w:t xml:space="preserve"> </w:t>
      </w:r>
      <w:r w:rsidR="00D229A6" w:rsidRPr="00A32585">
        <w:rPr>
          <w:rFonts w:ascii="Calibri" w:hAnsi="Calibri" w:cs="Calibri"/>
        </w:rPr>
        <w:t>level DFD</w:t>
      </w:r>
      <w:bookmarkEnd w:id="19"/>
      <w:bookmarkEnd w:id="20"/>
      <w:bookmarkEnd w:id="21"/>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2" w:name="_Toc338170479"/>
      <w:bookmarkStart w:id="23" w:name="_Toc375678228"/>
      <w:bookmarkStart w:id="24" w:name="_Toc418080062"/>
      <w:bookmarkStart w:id="25" w:name="_Toc421709912"/>
      <w:bookmarkStart w:id="26" w:name="_Toc430945169"/>
      <w:r w:rsidRPr="00AC4CD8">
        <w:rPr>
          <w:rFonts w:ascii="Calibri" w:hAnsi="Calibri" w:cs="Calibri"/>
        </w:rPr>
        <w:lastRenderedPageBreak/>
        <w:t>Constant Data Dictionary</w:t>
      </w:r>
      <w:bookmarkEnd w:id="22"/>
      <w:bookmarkEnd w:id="23"/>
      <w:bookmarkEnd w:id="24"/>
      <w:bookmarkEnd w:id="25"/>
      <w:bookmarkEnd w:id="26"/>
    </w:p>
    <w:p w:rsidR="00AC4CD8" w:rsidRPr="00DA5500" w:rsidRDefault="00AC4CD8" w:rsidP="00AC4CD8">
      <w:pPr>
        <w:pStyle w:val="Heading2"/>
        <w:spacing w:after="60"/>
        <w:rPr>
          <w:rFonts w:ascii="Calibri" w:hAnsi="Calibri"/>
        </w:rPr>
      </w:pPr>
      <w:bookmarkStart w:id="27" w:name="_Toc421011506"/>
      <w:bookmarkStart w:id="28" w:name="_Toc421786527"/>
      <w:bookmarkStart w:id="29" w:name="_Toc418080064"/>
      <w:bookmarkStart w:id="30" w:name="_Toc430945170"/>
      <w:r w:rsidRPr="00DA5500">
        <w:rPr>
          <w:rFonts w:ascii="Calibri" w:hAnsi="Calibri"/>
        </w:rPr>
        <w:t>Program (fixed) Constants</w:t>
      </w:r>
      <w:bookmarkEnd w:id="27"/>
      <w:bookmarkEnd w:id="28"/>
      <w:bookmarkEnd w:id="30"/>
    </w:p>
    <w:p w:rsidR="00AC4CD8" w:rsidRDefault="00AC4CD8" w:rsidP="00AC4CD8">
      <w:pPr>
        <w:pStyle w:val="Heading3"/>
        <w:tabs>
          <w:tab w:val="clear" w:pos="1017"/>
          <w:tab w:val="num" w:pos="567"/>
        </w:tabs>
        <w:ind w:left="567"/>
        <w:rPr>
          <w:rFonts w:ascii="Calibri" w:hAnsi="Calibri"/>
        </w:rPr>
      </w:pPr>
      <w:bookmarkStart w:id="31" w:name="_Toc430945171"/>
      <w:bookmarkEnd w:id="29"/>
      <w:r w:rsidRPr="00DA5500">
        <w:rPr>
          <w:rFonts w:ascii="Calibri" w:hAnsi="Calibri"/>
        </w:rPr>
        <w:t>Embedded Constants</w:t>
      </w:r>
      <w:bookmarkEnd w:id="31"/>
    </w:p>
    <w:p w:rsidR="000A5AA5" w:rsidRPr="000A5AA5" w:rsidRDefault="000A5AA5" w:rsidP="000A5AA5">
      <w:pPr>
        <w:rPr>
          <w:lang w:bidi="ar-SA"/>
        </w:rPr>
      </w:pPr>
      <w:r>
        <w:rPr>
          <w:lang w:bidi="ar-SA"/>
        </w:rPr>
        <w:t>Refer .m file</w:t>
      </w:r>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2" w:name="_Ref87065593"/>
      <w:bookmarkStart w:id="33" w:name="_Toc338170483"/>
      <w:bookmarkStart w:id="34" w:name="_Toc375678229"/>
      <w:bookmarkStart w:id="35" w:name="_Toc418080067"/>
      <w:bookmarkStart w:id="36" w:name="_Toc421786702"/>
      <w:bookmarkStart w:id="37" w:name="_Toc430945172"/>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2"/>
      <w:bookmarkEnd w:id="33"/>
      <w:bookmarkEnd w:id="34"/>
      <w:bookmarkEnd w:id="35"/>
      <w:bookmarkEnd w:id="36"/>
      <w:bookmarkEnd w:id="37"/>
    </w:p>
    <w:p w:rsidR="002B094F" w:rsidRPr="00987B4A" w:rsidRDefault="002B094F" w:rsidP="00007584">
      <w:pPr>
        <w:pStyle w:val="Heading2"/>
        <w:spacing w:after="60"/>
        <w:rPr>
          <w:rFonts w:ascii="Calibri" w:hAnsi="Calibri"/>
        </w:rPr>
      </w:pPr>
      <w:bookmarkStart w:id="38" w:name="_Toc338170484"/>
      <w:bookmarkStart w:id="39" w:name="_Toc418080068"/>
      <w:bookmarkStart w:id="40" w:name="_Toc421709916"/>
      <w:bookmarkStart w:id="41" w:name="_Toc430945173"/>
      <w:r w:rsidRPr="00007584">
        <w:rPr>
          <w:rFonts w:ascii="Calibri" w:hAnsi="Calibri"/>
        </w:rPr>
        <w:t>Sub</w:t>
      </w:r>
      <w:r w:rsidRPr="00987B4A">
        <w:rPr>
          <w:rFonts w:ascii="Calibri" w:hAnsi="Calibri"/>
        </w:rPr>
        <w:t>-Module Functions</w:t>
      </w:r>
      <w:bookmarkEnd w:id="38"/>
      <w:bookmarkEnd w:id="39"/>
      <w:bookmarkEnd w:id="40"/>
      <w:bookmarkEnd w:id="41"/>
    </w:p>
    <w:p w:rsidR="00007584" w:rsidRPr="00AA38E8" w:rsidRDefault="00007584" w:rsidP="001F01F0">
      <w:pPr>
        <w:pStyle w:val="Heading2"/>
        <w:numPr>
          <w:ilvl w:val="2"/>
          <w:numId w:val="11"/>
        </w:numPr>
        <w:tabs>
          <w:tab w:val="clear" w:pos="1017"/>
          <w:tab w:val="num" w:pos="567"/>
        </w:tabs>
        <w:spacing w:after="60"/>
        <w:ind w:left="567"/>
        <w:rPr>
          <w:rFonts w:ascii="Calibri" w:hAnsi="Calibri" w:cs="Calibri"/>
        </w:rPr>
      </w:pPr>
      <w:bookmarkStart w:id="42" w:name="_Toc421011514"/>
      <w:bookmarkStart w:id="43" w:name="_Toc430945174"/>
      <w:proofErr w:type="spellStart"/>
      <w:r w:rsidRPr="00AA38E8">
        <w:rPr>
          <w:rFonts w:ascii="Calibri" w:hAnsi="Calibri" w:cs="Calibri"/>
        </w:rPr>
        <w:t>Init</w:t>
      </w:r>
      <w:proofErr w:type="spellEnd"/>
      <w:r w:rsidRPr="00AA38E8">
        <w:rPr>
          <w:rFonts w:ascii="Calibri" w:hAnsi="Calibri" w:cs="Calibri"/>
        </w:rPr>
        <w:t xml:space="preserve">: </w:t>
      </w:r>
      <w:bookmarkEnd w:id="42"/>
      <w:r w:rsidR="000A5AA5">
        <w:rPr>
          <w:rFonts w:ascii="Calibri" w:hAnsi="Calibri" w:cs="Calibri"/>
        </w:rPr>
        <w:t>TEstimnInit</w:t>
      </w:r>
      <w:r w:rsidR="001F01F0" w:rsidRPr="001F01F0">
        <w:rPr>
          <w:rFonts w:ascii="Calibri" w:hAnsi="Calibri" w:cs="Calibri"/>
        </w:rPr>
        <w:t>1</w:t>
      </w:r>
      <w:bookmarkEnd w:id="43"/>
    </w:p>
    <w:p w:rsidR="00007584" w:rsidRPr="00AA38E8" w:rsidRDefault="00007584" w:rsidP="00007584">
      <w:pPr>
        <w:pStyle w:val="Heading2"/>
        <w:numPr>
          <w:ilvl w:val="3"/>
          <w:numId w:val="11"/>
        </w:numPr>
        <w:spacing w:after="60"/>
        <w:rPr>
          <w:rFonts w:ascii="Calibri" w:hAnsi="Calibri" w:cs="Calibri"/>
        </w:rPr>
      </w:pPr>
      <w:bookmarkStart w:id="44" w:name="_Toc421011515"/>
      <w:bookmarkStart w:id="45" w:name="_Toc430945175"/>
      <w:r w:rsidRPr="00AA38E8">
        <w:rPr>
          <w:rFonts w:ascii="Calibri" w:hAnsi="Calibri" w:cs="Calibri"/>
        </w:rPr>
        <w:t>Design Rationale</w:t>
      </w:r>
      <w:bookmarkEnd w:id="44"/>
      <w:bookmarkEnd w:id="45"/>
    </w:p>
    <w:p w:rsidR="00007584" w:rsidRDefault="000C48A0" w:rsidP="00007584">
      <w:pPr>
        <w:rPr>
          <w:rFonts w:cs="Calibri"/>
          <w:i/>
        </w:rPr>
      </w:pPr>
      <w:r>
        <w:rPr>
          <w:rFonts w:cs="Calibri"/>
          <w:i/>
        </w:rPr>
        <w:t>Refer FDD</w:t>
      </w:r>
      <w:r w:rsidR="001C0B31">
        <w:rPr>
          <w:rFonts w:cs="Calibri"/>
          <w:i/>
        </w:rPr>
        <w:t xml:space="preserve"> for the functionality. </w:t>
      </w:r>
    </w:p>
    <w:p w:rsidR="00007584" w:rsidRPr="00AA38E8" w:rsidRDefault="00007584" w:rsidP="00007584">
      <w:pPr>
        <w:pStyle w:val="Heading2"/>
        <w:numPr>
          <w:ilvl w:val="3"/>
          <w:numId w:val="11"/>
        </w:numPr>
        <w:spacing w:after="60"/>
        <w:rPr>
          <w:rFonts w:ascii="Calibri" w:hAnsi="Calibri" w:cs="Calibri"/>
        </w:rPr>
      </w:pPr>
      <w:bookmarkStart w:id="46" w:name="_Toc421011516"/>
      <w:bookmarkStart w:id="47" w:name="_Toc430945176"/>
      <w:r w:rsidRPr="00AA38E8">
        <w:rPr>
          <w:rFonts w:ascii="Calibri" w:hAnsi="Calibri" w:cs="Calibri"/>
        </w:rPr>
        <w:t>Module Outputs</w:t>
      </w:r>
      <w:bookmarkEnd w:id="46"/>
      <w:bookmarkEnd w:id="47"/>
    </w:p>
    <w:p w:rsidR="002B094F" w:rsidRPr="000C48A0" w:rsidRDefault="000C48A0" w:rsidP="000C48A0">
      <w:pPr>
        <w:rPr>
          <w:rFonts w:cs="Calibri"/>
          <w:i/>
        </w:rPr>
      </w:pPr>
      <w:r>
        <w:rPr>
          <w:rFonts w:cs="Calibri"/>
          <w:i/>
        </w:rPr>
        <w:t>Refer FDD</w:t>
      </w:r>
    </w:p>
    <w:p w:rsidR="00DB3C1D" w:rsidRPr="00AA38E8" w:rsidRDefault="00DB3C1D" w:rsidP="001F01F0">
      <w:pPr>
        <w:pStyle w:val="Heading2"/>
        <w:numPr>
          <w:ilvl w:val="2"/>
          <w:numId w:val="11"/>
        </w:numPr>
        <w:tabs>
          <w:tab w:val="clear" w:pos="1017"/>
          <w:tab w:val="num" w:pos="567"/>
        </w:tabs>
        <w:spacing w:after="60"/>
        <w:ind w:left="567"/>
        <w:rPr>
          <w:rFonts w:ascii="Calibri" w:hAnsi="Calibri" w:cs="Calibri"/>
        </w:rPr>
      </w:pPr>
      <w:bookmarkStart w:id="48" w:name="_Toc421011518"/>
      <w:bookmarkStart w:id="49" w:name="_Toc430945177"/>
      <w:r w:rsidRPr="00AA38E8">
        <w:rPr>
          <w:rFonts w:ascii="Calibri" w:hAnsi="Calibri" w:cs="Calibri"/>
        </w:rPr>
        <w:t xml:space="preserve">Per: </w:t>
      </w:r>
      <w:bookmarkEnd w:id="48"/>
      <w:r w:rsidR="000A5AA5">
        <w:rPr>
          <w:rFonts w:ascii="Calibri" w:hAnsi="Calibri" w:cs="Calibri"/>
        </w:rPr>
        <w:t>TEstimn</w:t>
      </w:r>
      <w:r w:rsidR="001F01F0" w:rsidRPr="001F01F0">
        <w:rPr>
          <w:rFonts w:ascii="Calibri" w:hAnsi="Calibri" w:cs="Calibri"/>
        </w:rPr>
        <w:t>Per1</w:t>
      </w:r>
      <w:bookmarkEnd w:id="49"/>
    </w:p>
    <w:p w:rsidR="00DB3C1D" w:rsidRPr="00E84FCD" w:rsidRDefault="00DB3C1D" w:rsidP="00DB3C1D">
      <w:pPr>
        <w:pStyle w:val="Heading2"/>
        <w:numPr>
          <w:ilvl w:val="3"/>
          <w:numId w:val="11"/>
        </w:numPr>
        <w:spacing w:after="60"/>
        <w:rPr>
          <w:rFonts w:ascii="Calibri" w:hAnsi="Calibri" w:cs="Calibri"/>
        </w:rPr>
      </w:pPr>
      <w:bookmarkStart w:id="50" w:name="_Toc421011519"/>
      <w:bookmarkStart w:id="51" w:name="_Toc430945178"/>
      <w:r w:rsidRPr="00E84FCD">
        <w:rPr>
          <w:rFonts w:ascii="Calibri" w:hAnsi="Calibri" w:cs="Calibri"/>
        </w:rPr>
        <w:t>Design Rationale</w:t>
      </w:r>
      <w:bookmarkEnd w:id="50"/>
      <w:bookmarkEnd w:id="51"/>
    </w:p>
    <w:p w:rsidR="00363FC9" w:rsidRDefault="00E84FCD" w:rsidP="001F01F0">
      <w:r>
        <w:t xml:space="preserve">In ‘AssistMechanismLeadLagFilterRe-Initialization’ block, blocks ‘AssistMechanismInitEnable’ and ‘AssistMechanismInitDisable’ have similar logic except for some calculations related to inputs.  So the differences are implemented in ‘if-else’ statement and common logic is implemented after ‘if-else’ statements in the SW.    </w:t>
      </w:r>
    </w:p>
    <w:p w:rsidR="00DB3C1D" w:rsidRPr="00AA38E8" w:rsidRDefault="00DB3C1D" w:rsidP="00DB3C1D">
      <w:pPr>
        <w:pStyle w:val="Heading2"/>
        <w:numPr>
          <w:ilvl w:val="3"/>
          <w:numId w:val="11"/>
        </w:numPr>
        <w:spacing w:after="60"/>
        <w:rPr>
          <w:rFonts w:ascii="Calibri" w:hAnsi="Calibri" w:cs="Calibri"/>
        </w:rPr>
      </w:pPr>
      <w:bookmarkStart w:id="52" w:name="_Toc421011520"/>
      <w:bookmarkStart w:id="53" w:name="_Toc430945179"/>
      <w:r w:rsidRPr="00AA38E8">
        <w:rPr>
          <w:rFonts w:ascii="Calibri" w:hAnsi="Calibri" w:cs="Calibri"/>
        </w:rPr>
        <w:t>Store Module Inputs to Local copies</w:t>
      </w:r>
      <w:bookmarkEnd w:id="52"/>
      <w:bookmarkEnd w:id="53"/>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54" w:name="_Toc421011521"/>
      <w:bookmarkStart w:id="55" w:name="_Toc430945180"/>
      <w:r w:rsidRPr="00AA38E8">
        <w:rPr>
          <w:rFonts w:ascii="Calibri" w:hAnsi="Calibri" w:cs="Calibri"/>
        </w:rPr>
        <w:t>(Processing of function)………</w:t>
      </w:r>
      <w:bookmarkEnd w:id="54"/>
      <w:bookmarkEnd w:id="55"/>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56" w:name="_Toc421011522"/>
      <w:bookmarkStart w:id="57" w:name="_Toc430945181"/>
      <w:r w:rsidRPr="00AA38E8">
        <w:rPr>
          <w:rFonts w:ascii="Calibri" w:hAnsi="Calibri" w:cs="Calibri"/>
        </w:rPr>
        <w:t>Store Local copy of outputs into Module Outputs</w:t>
      </w:r>
      <w:bookmarkEnd w:id="56"/>
      <w:bookmarkEnd w:id="57"/>
    </w:p>
    <w:p w:rsidR="00DB3C1D" w:rsidRPr="0033680E" w:rsidRDefault="00D13AA4" w:rsidP="00DB3C1D">
      <w:pPr>
        <w:rPr>
          <w:rFonts w:cs="Calibri"/>
          <w:i/>
        </w:rPr>
      </w:pPr>
      <w:r>
        <w:rPr>
          <w:rFonts w:cs="Calibri"/>
          <w:i/>
        </w:rPr>
        <w:t>Refer FDD</w:t>
      </w:r>
    </w:p>
    <w:p w:rsidR="007969D1" w:rsidRPr="007969D1" w:rsidRDefault="008C6874" w:rsidP="007969D1">
      <w:pPr>
        <w:pStyle w:val="Heading2"/>
        <w:spacing w:after="60"/>
        <w:rPr>
          <w:rFonts w:ascii="Calibri" w:hAnsi="Calibri"/>
        </w:rPr>
      </w:pPr>
      <w:bookmarkStart w:id="58" w:name="_Toc430945182"/>
      <w:r>
        <w:rPr>
          <w:rFonts w:ascii="Calibri" w:hAnsi="Calibri"/>
        </w:rPr>
        <w:t xml:space="preserve">Server </w:t>
      </w:r>
      <w:proofErr w:type="spellStart"/>
      <w:r>
        <w:rPr>
          <w:rFonts w:ascii="Calibri" w:hAnsi="Calibri"/>
        </w:rPr>
        <w:t>R</w:t>
      </w:r>
      <w:r w:rsidRPr="008C6874">
        <w:rPr>
          <w:rFonts w:ascii="Calibri" w:hAnsi="Calibri"/>
        </w:rPr>
        <w:t>unables</w:t>
      </w:r>
      <w:bookmarkEnd w:id="58"/>
      <w:proofErr w:type="spellEnd"/>
      <w:r w:rsidR="002B094F" w:rsidRPr="008C6874">
        <w:rPr>
          <w:rFonts w:ascii="Calibri" w:hAnsi="Calibri"/>
        </w:rPr>
        <w:t xml:space="preserve"> </w:t>
      </w:r>
      <w:bookmarkStart w:id="59" w:name="_Toc382301471"/>
      <w:bookmarkStart w:id="60" w:name="_Toc383698997"/>
      <w:bookmarkEnd w:id="59"/>
      <w:bookmarkEnd w:id="60"/>
    </w:p>
    <w:p w:rsidR="007969D1" w:rsidRPr="0033680E" w:rsidRDefault="000A5AA5" w:rsidP="007969D1">
      <w:pPr>
        <w:rPr>
          <w:rFonts w:cs="Calibri"/>
          <w:i/>
        </w:rPr>
      </w:pPr>
      <w:r>
        <w:rPr>
          <w:rFonts w:cs="Calibri"/>
          <w:i/>
        </w:rPr>
        <w:t>None</w:t>
      </w:r>
    </w:p>
    <w:p w:rsidR="008C6874" w:rsidRPr="00AA38E8" w:rsidRDefault="008C6874" w:rsidP="008C6874">
      <w:pPr>
        <w:pStyle w:val="Heading2"/>
        <w:spacing w:after="60"/>
        <w:rPr>
          <w:rFonts w:ascii="Calibri" w:hAnsi="Calibri" w:cs="Calibri"/>
        </w:rPr>
      </w:pPr>
      <w:bookmarkStart w:id="61" w:name="_Ref382299966"/>
      <w:bookmarkStart w:id="62" w:name="_Toc421011529"/>
      <w:bookmarkStart w:id="63" w:name="_Toc430945183"/>
      <w:r w:rsidRPr="00AA38E8">
        <w:rPr>
          <w:rFonts w:ascii="Calibri" w:hAnsi="Calibri" w:cs="Calibri"/>
        </w:rPr>
        <w:t>Interrupt Functions</w:t>
      </w:r>
      <w:bookmarkEnd w:id="61"/>
      <w:bookmarkEnd w:id="62"/>
      <w:bookmarkEnd w:id="63"/>
    </w:p>
    <w:p w:rsidR="008C6874" w:rsidRPr="0033680E" w:rsidRDefault="00D13AA4"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64" w:name="_Toc338170485"/>
      <w:bookmarkStart w:id="65" w:name="_Toc418080074"/>
      <w:bookmarkStart w:id="66" w:name="_Toc421709919"/>
      <w:bookmarkStart w:id="67" w:name="_Toc430945184"/>
      <w:r w:rsidRPr="008C6874">
        <w:rPr>
          <w:rFonts w:ascii="Calibri" w:hAnsi="Calibri" w:cs="Calibri"/>
        </w:rPr>
        <w:t>Module Internal (Local) Functions</w:t>
      </w:r>
      <w:bookmarkEnd w:id="64"/>
      <w:bookmarkEnd w:id="65"/>
      <w:bookmarkEnd w:id="66"/>
      <w:bookmarkEnd w:id="67"/>
    </w:p>
    <w:p w:rsidR="00233B24" w:rsidRPr="00233B24" w:rsidRDefault="007969D1" w:rsidP="00BD794B">
      <w:r>
        <w:rPr>
          <w:rFonts w:cs="Calibri"/>
        </w:rPr>
        <w:t>None</w:t>
      </w:r>
    </w:p>
    <w:p w:rsidR="008C6874" w:rsidRPr="00AA38E8" w:rsidRDefault="008C6874" w:rsidP="008C6874">
      <w:pPr>
        <w:pStyle w:val="Heading2"/>
        <w:spacing w:after="60"/>
        <w:rPr>
          <w:rFonts w:ascii="Calibri" w:hAnsi="Calibri" w:cs="Calibri"/>
        </w:rPr>
      </w:pPr>
      <w:bookmarkStart w:id="68" w:name="_Toc421011542"/>
      <w:bookmarkStart w:id="69" w:name="_Toc430945185"/>
      <w:r>
        <w:rPr>
          <w:rFonts w:ascii="Calibri" w:hAnsi="Calibri" w:cs="Calibri"/>
        </w:rPr>
        <w:t>GLOBAL</w:t>
      </w:r>
      <w:r w:rsidRPr="00AA38E8">
        <w:rPr>
          <w:rFonts w:ascii="Calibri" w:hAnsi="Calibri" w:cs="Calibri"/>
        </w:rPr>
        <w:t xml:space="preserve"> Function/Macro Definitions</w:t>
      </w:r>
      <w:bookmarkEnd w:id="68"/>
      <w:bookmarkEnd w:id="69"/>
    </w:p>
    <w:p w:rsidR="008C6874" w:rsidRDefault="009B7D1A"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0" w:name="_Toc418080076"/>
      <w:bookmarkStart w:id="71" w:name="_Toc421709921"/>
      <w:bookmarkStart w:id="72" w:name="_Toc430945186"/>
      <w:r w:rsidRPr="002E3F2E">
        <w:rPr>
          <w:rFonts w:ascii="Calibri" w:hAnsi="Calibri"/>
        </w:rPr>
        <w:lastRenderedPageBreak/>
        <w:t>Known</w:t>
      </w:r>
      <w:r w:rsidRPr="00AA38E8">
        <w:rPr>
          <w:rFonts w:ascii="Calibri" w:hAnsi="Calibri" w:cs="Calibri"/>
        </w:rPr>
        <w:t xml:space="preserve"> Limitations with Design</w:t>
      </w:r>
      <w:bookmarkEnd w:id="70"/>
      <w:bookmarkEnd w:id="71"/>
      <w:bookmarkEnd w:id="72"/>
    </w:p>
    <w:p w:rsidR="001F4282" w:rsidRPr="00B26D2C" w:rsidRDefault="000A5AA5" w:rsidP="0043410A">
      <w:pPr>
        <w:pStyle w:val="ListParagraph"/>
        <w:rPr>
          <w:rFonts w:cs="Calibri"/>
          <w:i/>
        </w:rPr>
      </w:pPr>
      <w:r>
        <w:rPr>
          <w:rFonts w:cs="Calibri"/>
          <w:i/>
        </w:rPr>
        <w:t>None</w:t>
      </w:r>
    </w:p>
    <w:p w:rsidR="00531B8C" w:rsidRDefault="00531B8C" w:rsidP="00531B8C">
      <w:pPr>
        <w:rPr>
          <w:rFonts w:cs="Calibri"/>
        </w:rPr>
      </w:pP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3" w:name="_Toc382297449"/>
      <w:bookmarkStart w:id="74" w:name="_Toc418080077"/>
      <w:bookmarkStart w:id="75" w:name="_Toc421709922"/>
      <w:bookmarkStart w:id="76" w:name="_Toc430945187"/>
      <w:r w:rsidRPr="00E75CFE">
        <w:rPr>
          <w:rFonts w:ascii="Calibri" w:hAnsi="Calibri" w:cs="Calibri"/>
        </w:rPr>
        <w:lastRenderedPageBreak/>
        <w:t>UNIT TEST CONSIDERATION</w:t>
      </w:r>
      <w:bookmarkEnd w:id="73"/>
      <w:bookmarkEnd w:id="74"/>
      <w:bookmarkEnd w:id="75"/>
      <w:bookmarkEnd w:id="76"/>
    </w:p>
    <w:p w:rsidR="00440304" w:rsidRPr="00AC411D" w:rsidRDefault="00440304" w:rsidP="00AC411D">
      <w:pPr>
        <w:autoSpaceDE w:val="0"/>
        <w:autoSpaceDN w:val="0"/>
        <w:adjustRightInd w:val="0"/>
        <w:spacing w:after="0"/>
        <w:rPr>
          <w:rFonts w:ascii="Courier New" w:hAnsi="Courier New" w:cs="Courier New"/>
          <w:sz w:val="24"/>
          <w:lang w:eastAsia="en-IN" w:bidi="ar-SA"/>
        </w:rPr>
      </w:pPr>
      <w:r>
        <w:t>Due to the lead/lag filter implementation in this module, absolute ranges are difficult to determine without pre-defined knowledge on the combination of coe</w:t>
      </w:r>
      <w:r w:rsidR="006B1E80">
        <w:t xml:space="preserve">fficient values (A1, B0, </w:t>
      </w:r>
      <w:proofErr w:type="gramStart"/>
      <w:r w:rsidR="006B1E80">
        <w:t>B1</w:t>
      </w:r>
      <w:proofErr w:type="gramEnd"/>
      <w:r w:rsidR="006B1E80">
        <w:t xml:space="preserve">).  </w:t>
      </w:r>
      <w:bookmarkStart w:id="77" w:name="_GoBack"/>
      <w:bookmarkEnd w:id="77"/>
      <w:r>
        <w:t>For unit test purposes, below four sets of lead/lag filter coefficient calibrations (</w:t>
      </w:r>
      <w:r w:rsidR="00AC411D" w:rsidRPr="00AC411D">
        <w:t>TEstimnXXLLFilCoeffA1, TEstimnXXLLFilC</w:t>
      </w:r>
      <w:r w:rsidR="004539DE">
        <w:t>oeffB0 and TEstimnXXLLFilCoeffB1</w:t>
      </w:r>
      <w:r>
        <w:t>)</w:t>
      </w:r>
      <w:r w:rsidRPr="002F15D3">
        <w:t xml:space="preserve"> </w:t>
      </w:r>
      <w:r>
        <w:t xml:space="preserve">should be tested using the combinations of coefficient values in the table below, as well as the default values of the filter coefficient calibrations as given in the data dictionary.  The ranges given throughout this module were taken as the worst case results of </w:t>
      </w:r>
      <w:r w:rsidR="00AC411D">
        <w:t>the entire</w:t>
      </w:r>
      <w:r>
        <w:t xml:space="preserve"> given filter coefficient sets.</w:t>
      </w:r>
    </w:p>
    <w:p w:rsidR="00440304" w:rsidRDefault="00440304" w:rsidP="00440304">
      <w:pPr>
        <w:spacing w:after="0"/>
      </w:pPr>
    </w:p>
    <w:tbl>
      <w:tblPr>
        <w:tblW w:w="70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575"/>
        <w:gridCol w:w="1710"/>
        <w:gridCol w:w="1350"/>
        <w:gridCol w:w="1440"/>
      </w:tblGrid>
      <w:tr w:rsidR="00440304" w:rsidRPr="00E45DB0" w:rsidTr="008A6A1F">
        <w:trPr>
          <w:trHeight w:val="300"/>
        </w:trPr>
        <w:tc>
          <w:tcPr>
            <w:tcW w:w="960" w:type="dxa"/>
            <w:shd w:val="clear" w:color="auto" w:fill="auto"/>
            <w:noWrap/>
            <w:vAlign w:val="bottom"/>
            <w:hideMark/>
          </w:tcPr>
          <w:p w:rsidR="00440304" w:rsidRPr="00E45DB0" w:rsidRDefault="00440304" w:rsidP="008A6A1F">
            <w:pPr>
              <w:spacing w:after="0"/>
              <w:rPr>
                <w:color w:val="000000"/>
                <w:sz w:val="22"/>
                <w:szCs w:val="22"/>
              </w:rPr>
            </w:pPr>
            <w:proofErr w:type="spellStart"/>
            <w:r w:rsidRPr="00E45DB0">
              <w:rPr>
                <w:color w:val="000000"/>
                <w:sz w:val="22"/>
                <w:szCs w:val="22"/>
              </w:rPr>
              <w:t>Fz</w:t>
            </w:r>
            <w:proofErr w:type="spellEnd"/>
          </w:p>
        </w:tc>
        <w:tc>
          <w:tcPr>
            <w:tcW w:w="1575"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0.0045</w:t>
            </w:r>
          </w:p>
        </w:tc>
        <w:tc>
          <w:tcPr>
            <w:tcW w:w="1710"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0.0045</w:t>
            </w:r>
          </w:p>
        </w:tc>
        <w:tc>
          <w:tcPr>
            <w:tcW w:w="1350"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0.00003</w:t>
            </w:r>
          </w:p>
        </w:tc>
        <w:tc>
          <w:tcPr>
            <w:tcW w:w="1440"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0.00003</w:t>
            </w:r>
          </w:p>
        </w:tc>
      </w:tr>
      <w:tr w:rsidR="00440304" w:rsidRPr="00E45DB0" w:rsidTr="008A6A1F">
        <w:trPr>
          <w:trHeight w:val="300"/>
        </w:trPr>
        <w:tc>
          <w:tcPr>
            <w:tcW w:w="960" w:type="dxa"/>
            <w:shd w:val="clear" w:color="auto" w:fill="auto"/>
            <w:noWrap/>
            <w:vAlign w:val="bottom"/>
            <w:hideMark/>
          </w:tcPr>
          <w:p w:rsidR="00440304" w:rsidRPr="00E45DB0" w:rsidRDefault="00440304" w:rsidP="008A6A1F">
            <w:pPr>
              <w:spacing w:after="0"/>
              <w:rPr>
                <w:color w:val="000000"/>
                <w:sz w:val="22"/>
                <w:szCs w:val="22"/>
              </w:rPr>
            </w:pPr>
            <w:proofErr w:type="spellStart"/>
            <w:r w:rsidRPr="00E45DB0">
              <w:rPr>
                <w:color w:val="000000"/>
                <w:sz w:val="22"/>
                <w:szCs w:val="22"/>
              </w:rPr>
              <w:t>Fp</w:t>
            </w:r>
            <w:proofErr w:type="spellEnd"/>
          </w:p>
        </w:tc>
        <w:tc>
          <w:tcPr>
            <w:tcW w:w="1575"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0.0045</w:t>
            </w:r>
          </w:p>
        </w:tc>
        <w:tc>
          <w:tcPr>
            <w:tcW w:w="1710"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0.00003</w:t>
            </w:r>
          </w:p>
        </w:tc>
        <w:tc>
          <w:tcPr>
            <w:tcW w:w="1350"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0.0045</w:t>
            </w:r>
          </w:p>
        </w:tc>
        <w:tc>
          <w:tcPr>
            <w:tcW w:w="1440"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0.00003</w:t>
            </w:r>
          </w:p>
        </w:tc>
      </w:tr>
      <w:tr w:rsidR="00440304" w:rsidRPr="00E45DB0" w:rsidTr="008A6A1F">
        <w:trPr>
          <w:trHeight w:val="300"/>
        </w:trPr>
        <w:tc>
          <w:tcPr>
            <w:tcW w:w="960" w:type="dxa"/>
            <w:shd w:val="clear" w:color="auto" w:fill="auto"/>
            <w:noWrap/>
            <w:vAlign w:val="bottom"/>
            <w:hideMark/>
          </w:tcPr>
          <w:p w:rsidR="00440304" w:rsidRPr="00E45DB0" w:rsidRDefault="00440304" w:rsidP="008A6A1F">
            <w:pPr>
              <w:spacing w:after="0"/>
              <w:rPr>
                <w:color w:val="000000"/>
                <w:sz w:val="22"/>
                <w:szCs w:val="22"/>
              </w:rPr>
            </w:pPr>
          </w:p>
        </w:tc>
        <w:tc>
          <w:tcPr>
            <w:tcW w:w="1575" w:type="dxa"/>
            <w:shd w:val="clear" w:color="auto" w:fill="auto"/>
            <w:noWrap/>
            <w:vAlign w:val="bottom"/>
            <w:hideMark/>
          </w:tcPr>
          <w:p w:rsidR="00440304" w:rsidRPr="00E45DB0" w:rsidRDefault="00440304" w:rsidP="008A6A1F">
            <w:pPr>
              <w:spacing w:after="0"/>
              <w:rPr>
                <w:color w:val="000000"/>
                <w:sz w:val="22"/>
                <w:szCs w:val="22"/>
              </w:rPr>
            </w:pPr>
          </w:p>
        </w:tc>
        <w:tc>
          <w:tcPr>
            <w:tcW w:w="1710" w:type="dxa"/>
            <w:shd w:val="clear" w:color="auto" w:fill="auto"/>
            <w:noWrap/>
            <w:vAlign w:val="bottom"/>
            <w:hideMark/>
          </w:tcPr>
          <w:p w:rsidR="00440304" w:rsidRPr="00E45DB0" w:rsidRDefault="00440304" w:rsidP="008A6A1F">
            <w:pPr>
              <w:spacing w:after="0"/>
              <w:rPr>
                <w:color w:val="000000"/>
                <w:sz w:val="22"/>
                <w:szCs w:val="22"/>
              </w:rPr>
            </w:pPr>
          </w:p>
        </w:tc>
        <w:tc>
          <w:tcPr>
            <w:tcW w:w="1350" w:type="dxa"/>
            <w:shd w:val="clear" w:color="auto" w:fill="auto"/>
            <w:noWrap/>
            <w:vAlign w:val="bottom"/>
            <w:hideMark/>
          </w:tcPr>
          <w:p w:rsidR="00440304" w:rsidRPr="00E45DB0" w:rsidRDefault="00440304" w:rsidP="008A6A1F">
            <w:pPr>
              <w:spacing w:after="0"/>
              <w:rPr>
                <w:color w:val="000000"/>
                <w:sz w:val="22"/>
                <w:szCs w:val="22"/>
              </w:rPr>
            </w:pPr>
          </w:p>
        </w:tc>
        <w:tc>
          <w:tcPr>
            <w:tcW w:w="1440" w:type="dxa"/>
            <w:shd w:val="clear" w:color="auto" w:fill="auto"/>
            <w:noWrap/>
            <w:vAlign w:val="bottom"/>
            <w:hideMark/>
          </w:tcPr>
          <w:p w:rsidR="00440304" w:rsidRPr="00E45DB0" w:rsidRDefault="00440304" w:rsidP="008A6A1F">
            <w:pPr>
              <w:spacing w:after="0"/>
              <w:rPr>
                <w:color w:val="000000"/>
                <w:sz w:val="22"/>
                <w:szCs w:val="22"/>
              </w:rPr>
            </w:pPr>
          </w:p>
        </w:tc>
      </w:tr>
      <w:tr w:rsidR="00440304" w:rsidRPr="00E45DB0" w:rsidTr="008A6A1F">
        <w:trPr>
          <w:trHeight w:val="300"/>
        </w:trPr>
        <w:tc>
          <w:tcPr>
            <w:tcW w:w="960" w:type="dxa"/>
            <w:shd w:val="clear" w:color="auto" w:fill="auto"/>
            <w:noWrap/>
            <w:vAlign w:val="bottom"/>
            <w:hideMark/>
          </w:tcPr>
          <w:p w:rsidR="00440304" w:rsidRPr="00E45DB0" w:rsidRDefault="00440304" w:rsidP="008A6A1F">
            <w:pPr>
              <w:spacing w:after="0"/>
              <w:rPr>
                <w:color w:val="000000"/>
                <w:sz w:val="22"/>
                <w:szCs w:val="22"/>
              </w:rPr>
            </w:pPr>
            <w:r w:rsidRPr="00E45DB0">
              <w:rPr>
                <w:color w:val="000000"/>
                <w:sz w:val="22"/>
                <w:szCs w:val="22"/>
              </w:rPr>
              <w:t>B0</w:t>
            </w:r>
          </w:p>
        </w:tc>
        <w:tc>
          <w:tcPr>
            <w:tcW w:w="1575"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1</w:t>
            </w:r>
          </w:p>
        </w:tc>
        <w:tc>
          <w:tcPr>
            <w:tcW w:w="1710"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0.0066760330</w:t>
            </w:r>
          </w:p>
        </w:tc>
        <w:tc>
          <w:tcPr>
            <w:tcW w:w="1350"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149.78955</w:t>
            </w:r>
          </w:p>
        </w:tc>
        <w:tc>
          <w:tcPr>
            <w:tcW w:w="1440"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1</w:t>
            </w:r>
          </w:p>
        </w:tc>
      </w:tr>
      <w:tr w:rsidR="00440304" w:rsidRPr="00E45DB0" w:rsidTr="008A6A1F">
        <w:trPr>
          <w:trHeight w:val="300"/>
        </w:trPr>
        <w:tc>
          <w:tcPr>
            <w:tcW w:w="960" w:type="dxa"/>
            <w:shd w:val="clear" w:color="auto" w:fill="auto"/>
            <w:noWrap/>
            <w:vAlign w:val="bottom"/>
            <w:hideMark/>
          </w:tcPr>
          <w:p w:rsidR="00440304" w:rsidRPr="00E45DB0" w:rsidRDefault="00440304" w:rsidP="008A6A1F">
            <w:pPr>
              <w:spacing w:after="0"/>
              <w:rPr>
                <w:color w:val="000000"/>
                <w:sz w:val="22"/>
                <w:szCs w:val="22"/>
              </w:rPr>
            </w:pPr>
            <w:r w:rsidRPr="00E45DB0">
              <w:rPr>
                <w:color w:val="000000"/>
                <w:sz w:val="22"/>
                <w:szCs w:val="22"/>
              </w:rPr>
              <w:t>B1</w:t>
            </w:r>
          </w:p>
        </w:tc>
        <w:tc>
          <w:tcPr>
            <w:tcW w:w="1575"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-0.99717656</w:t>
            </w:r>
          </w:p>
        </w:tc>
        <w:tc>
          <w:tcPr>
            <w:tcW w:w="1710"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-0.0066571836</w:t>
            </w:r>
          </w:p>
        </w:tc>
        <w:tc>
          <w:tcPr>
            <w:tcW w:w="1350"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-149.78673</w:t>
            </w:r>
          </w:p>
        </w:tc>
        <w:tc>
          <w:tcPr>
            <w:tcW w:w="1440"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-0.99998115</w:t>
            </w:r>
          </w:p>
        </w:tc>
      </w:tr>
      <w:tr w:rsidR="00440304" w:rsidRPr="00E45DB0" w:rsidTr="008A6A1F">
        <w:trPr>
          <w:trHeight w:val="300"/>
        </w:trPr>
        <w:tc>
          <w:tcPr>
            <w:tcW w:w="960" w:type="dxa"/>
            <w:shd w:val="clear" w:color="auto" w:fill="auto"/>
            <w:noWrap/>
            <w:vAlign w:val="bottom"/>
            <w:hideMark/>
          </w:tcPr>
          <w:p w:rsidR="00440304" w:rsidRPr="00E45DB0" w:rsidRDefault="00440304" w:rsidP="008A6A1F">
            <w:pPr>
              <w:spacing w:after="0"/>
              <w:rPr>
                <w:color w:val="000000"/>
                <w:sz w:val="22"/>
                <w:szCs w:val="22"/>
              </w:rPr>
            </w:pPr>
            <w:r w:rsidRPr="00E45DB0">
              <w:rPr>
                <w:color w:val="000000"/>
                <w:sz w:val="22"/>
                <w:szCs w:val="22"/>
              </w:rPr>
              <w:t>A1</w:t>
            </w:r>
          </w:p>
        </w:tc>
        <w:tc>
          <w:tcPr>
            <w:tcW w:w="1575"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0.99717656</w:t>
            </w:r>
          </w:p>
        </w:tc>
        <w:tc>
          <w:tcPr>
            <w:tcW w:w="1710"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0.99998115</w:t>
            </w:r>
          </w:p>
        </w:tc>
        <w:tc>
          <w:tcPr>
            <w:tcW w:w="1350"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0.99717656</w:t>
            </w:r>
          </w:p>
        </w:tc>
        <w:tc>
          <w:tcPr>
            <w:tcW w:w="1440" w:type="dxa"/>
            <w:shd w:val="clear" w:color="auto" w:fill="auto"/>
            <w:noWrap/>
            <w:vAlign w:val="bottom"/>
            <w:hideMark/>
          </w:tcPr>
          <w:p w:rsidR="00440304" w:rsidRPr="00E45DB0" w:rsidRDefault="00440304" w:rsidP="008A6A1F">
            <w:pPr>
              <w:spacing w:after="0"/>
              <w:jc w:val="right"/>
              <w:rPr>
                <w:color w:val="000000"/>
                <w:sz w:val="22"/>
                <w:szCs w:val="22"/>
              </w:rPr>
            </w:pPr>
            <w:r w:rsidRPr="00E45DB0">
              <w:rPr>
                <w:color w:val="000000"/>
                <w:sz w:val="22"/>
                <w:szCs w:val="22"/>
              </w:rPr>
              <w:t>0.99998115</w:t>
            </w:r>
          </w:p>
        </w:tc>
      </w:tr>
    </w:tbl>
    <w:p w:rsidR="00531B8C" w:rsidRPr="00531B8C" w:rsidRDefault="00531B8C" w:rsidP="00531B8C">
      <w:pPr>
        <w:rPr>
          <w:lang w:bidi="ar-SA"/>
        </w:rPr>
      </w:pPr>
    </w:p>
    <w:p w:rsidR="00786BDF" w:rsidRPr="00A158C7" w:rsidRDefault="00786BDF" w:rsidP="000B37D5">
      <w:pPr>
        <w:pStyle w:val="Heading7"/>
      </w:pPr>
      <w:bookmarkStart w:id="78" w:name="_Toc430945188"/>
      <w:r w:rsidRPr="00A158C7">
        <w:lastRenderedPageBreak/>
        <w:t>Abbreviations and Acronyms</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79" w:name="_Toc430945189"/>
      <w:r w:rsidRPr="00A158C7">
        <w:lastRenderedPageBreak/>
        <w:t>Glossary</w:t>
      </w:r>
      <w:bookmarkEnd w:id="79"/>
    </w:p>
    <w:p w:rsidR="009B0C02" w:rsidRPr="00A158C7" w:rsidRDefault="009B0C02" w:rsidP="00A158C7">
      <w:pPr>
        <w:jc w:val="both"/>
        <w:rPr>
          <w:lang w:bidi="ar-SA"/>
        </w:rPr>
      </w:pPr>
      <w:r w:rsidRPr="00A158C7">
        <w:rPr>
          <w:b/>
          <w:lang w:bidi="ar-SA"/>
        </w:rPr>
        <w:t>Note</w:t>
      </w:r>
      <w:r w:rsidRPr="00A158C7">
        <w:rPr>
          <w:lang w:bidi="ar-SA"/>
        </w:rPr>
        <w:t>: Terms and definitions from the source “</w:t>
      </w:r>
      <w:proofErr w:type="spellStart"/>
      <w:r w:rsidRPr="00A158C7">
        <w:rPr>
          <w:lang w:bidi="ar-SA"/>
        </w:rPr>
        <w:t>Nexteer</w:t>
      </w:r>
      <w:proofErr w:type="spellEnd"/>
      <w:r w:rsidRPr="00A158C7">
        <w:rPr>
          <w:lang w:bidi="ar-SA"/>
        </w:rPr>
        <w:t xml:space="preserve"> Automotive” take precedence over all other definitions of the same term.  Terms and definitions from the source “</w:t>
      </w:r>
      <w:proofErr w:type="spellStart"/>
      <w:r w:rsidRPr="00A158C7">
        <w:rPr>
          <w:lang w:bidi="ar-SA"/>
        </w:rPr>
        <w:t>Nexteer</w:t>
      </w:r>
      <w:proofErr w:type="spellEnd"/>
      <w:r w:rsidRPr="00A158C7">
        <w:rPr>
          <w:lang w:bidi="ar-SA"/>
        </w:rPr>
        <w:t xml:space="preserve">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 xml:space="preserve">Existing </w:t>
      </w:r>
      <w:proofErr w:type="spellStart"/>
      <w:r w:rsidRPr="00A158C7">
        <w:rPr>
          <w:lang w:bidi="ar-SA"/>
        </w:rPr>
        <w:t>Nexteer</w:t>
      </w:r>
      <w:proofErr w:type="spellEnd"/>
      <w:r w:rsidRPr="00A158C7">
        <w:rPr>
          <w:lang w:bidi="ar-SA"/>
        </w:rPr>
        <w:t xml:space="preserve">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0" w:name="_Toc430945190"/>
      <w:r w:rsidRPr="00A158C7">
        <w:lastRenderedPageBreak/>
        <w:t>References</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1"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81"/>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602468">
            <w:pPr>
              <w:rPr>
                <w:lang w:bidi="ar-SA"/>
              </w:rPr>
            </w:pPr>
            <w:r>
              <w:rPr>
                <w:lang w:bidi="ar-SA"/>
              </w:rPr>
              <w:t>EA4 01.00</w:t>
            </w:r>
            <w:r w:rsidR="00531B8C">
              <w:rPr>
                <w:lang w:bidi="ar-SA"/>
              </w:rPr>
              <w:t>.</w:t>
            </w:r>
            <w:r w:rsidR="00602468">
              <w:rPr>
                <w:lang w:bidi="ar-SA"/>
              </w:rPr>
              <w:t>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5B090B" w:rsidP="00B758D2">
            <w:pPr>
              <w:keepNext/>
            </w:pPr>
            <w:hyperlink r:id="rId15" w:history="1">
              <w:bookmarkStart w:id="82" w:name="_Ref335300243"/>
              <w:r w:rsidR="00531B8C" w:rsidRPr="00FC427F">
                <w:t>Software Naming Conventions.doc</w:t>
              </w:r>
              <w:bookmarkEnd w:id="82"/>
            </w:hyperlink>
          </w:p>
        </w:tc>
        <w:tc>
          <w:tcPr>
            <w:tcW w:w="2091" w:type="dxa"/>
            <w:shd w:val="clear" w:color="auto" w:fill="auto"/>
          </w:tcPr>
          <w:p w:rsidR="00531B8C" w:rsidRDefault="00602468" w:rsidP="00B758D2">
            <w:pPr>
              <w:rPr>
                <w:lang w:bidi="ar-SA"/>
              </w:rPr>
            </w:pPr>
            <w:r>
              <w:rPr>
                <w:lang w:bidi="ar-SA"/>
              </w:rPr>
              <w:t>EA4 0</w:t>
            </w:r>
            <w:r w:rsidR="00531B8C">
              <w:rPr>
                <w:lang w:bidi="ar-SA"/>
              </w:rPr>
              <w:t>1.0</w:t>
            </w:r>
            <w:r>
              <w:rPr>
                <w:lang w:bidi="ar-SA"/>
              </w:rPr>
              <w:t>0.00</w:t>
            </w:r>
          </w:p>
        </w:tc>
      </w:tr>
      <w:tr w:rsidR="00531B8C" w:rsidRPr="00A158C7" w:rsidTr="00B758D2">
        <w:tc>
          <w:tcPr>
            <w:tcW w:w="738" w:type="dxa"/>
            <w:shd w:val="clear" w:color="auto" w:fill="auto"/>
          </w:tcPr>
          <w:p w:rsidR="00531B8C" w:rsidRDefault="00531B8C" w:rsidP="00B758D2">
            <w:pPr>
              <w:jc w:val="center"/>
            </w:pPr>
            <w:r>
              <w:t>4</w:t>
            </w:r>
          </w:p>
        </w:tc>
        <w:bookmarkStart w:id="83"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83"/>
          </w:p>
        </w:tc>
        <w:tc>
          <w:tcPr>
            <w:tcW w:w="2091" w:type="dxa"/>
            <w:shd w:val="clear" w:color="auto" w:fill="auto"/>
          </w:tcPr>
          <w:p w:rsidR="00531B8C" w:rsidRDefault="00531B8C" w:rsidP="00602468">
            <w:pPr>
              <w:rPr>
                <w:lang w:bidi="ar-SA"/>
              </w:rPr>
            </w:pPr>
            <w:r>
              <w:rPr>
                <w:lang w:bidi="ar-SA"/>
              </w:rPr>
              <w:t>2.</w:t>
            </w:r>
            <w:r w:rsidR="00602468">
              <w:rPr>
                <w:lang w:bidi="ar-SA"/>
              </w:rPr>
              <w:t>1</w:t>
            </w:r>
          </w:p>
        </w:tc>
      </w:tr>
      <w:tr w:rsidR="00DC2D5B" w:rsidRPr="00A158C7" w:rsidTr="00B758D2">
        <w:tc>
          <w:tcPr>
            <w:tcW w:w="738" w:type="dxa"/>
            <w:shd w:val="clear" w:color="auto" w:fill="auto"/>
          </w:tcPr>
          <w:p w:rsidR="00DC2D5B" w:rsidRDefault="00DC2D5B" w:rsidP="00B758D2">
            <w:pPr>
              <w:jc w:val="center"/>
            </w:pPr>
            <w:r>
              <w:t>5</w:t>
            </w:r>
          </w:p>
        </w:tc>
        <w:tc>
          <w:tcPr>
            <w:tcW w:w="6458" w:type="dxa"/>
            <w:shd w:val="clear" w:color="auto" w:fill="auto"/>
          </w:tcPr>
          <w:p w:rsidR="00DC2D5B" w:rsidRDefault="00DC2D5B" w:rsidP="007969D1">
            <w:pPr>
              <w:keepNext/>
            </w:pPr>
            <w:r>
              <w:t xml:space="preserve">FDD : </w:t>
            </w:r>
            <w:r w:rsidR="0043410A" w:rsidRPr="0043410A">
              <w:t>SF006A</w:t>
            </w:r>
            <w:r w:rsidR="001A7DB1" w:rsidRPr="001A7DB1">
              <w:t>_</w:t>
            </w:r>
            <w:r w:rsidR="007969D1">
              <w:t xml:space="preserve"> </w:t>
            </w:r>
            <w:proofErr w:type="spellStart"/>
            <w:r w:rsidR="0043410A" w:rsidRPr="0043410A">
              <w:t>TEstimn</w:t>
            </w:r>
            <w:r w:rsidRPr="00DC2D5B">
              <w:t>_Design</w:t>
            </w:r>
            <w:proofErr w:type="spellEnd"/>
          </w:p>
        </w:tc>
        <w:tc>
          <w:tcPr>
            <w:tcW w:w="2091" w:type="dxa"/>
            <w:shd w:val="clear" w:color="auto" w:fill="auto"/>
          </w:tcPr>
          <w:p w:rsidR="00DC2D5B" w:rsidRDefault="00DC2D5B" w:rsidP="00602468">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90B" w:rsidRDefault="005B090B">
      <w:r>
        <w:separator/>
      </w:r>
    </w:p>
  </w:endnote>
  <w:endnote w:type="continuationSeparator" w:id="0">
    <w:p w:rsidR="005B090B" w:rsidRDefault="005B0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12696E" w:rsidRPr="00B10816" w:rsidTr="00866672">
      <w:tc>
        <w:tcPr>
          <w:tcW w:w="1667" w:type="pct"/>
          <w:vAlign w:val="center"/>
        </w:tcPr>
        <w:p w:rsidR="0012696E" w:rsidRPr="00B10816" w:rsidRDefault="0012696E" w:rsidP="00B10816">
          <w:pPr>
            <w:pStyle w:val="Footer"/>
            <w:spacing w:after="0"/>
            <w:rPr>
              <w:sz w:val="16"/>
              <w:szCs w:val="16"/>
            </w:rPr>
          </w:pPr>
          <w:r w:rsidRPr="00B10816">
            <w:rPr>
              <w:sz w:val="16"/>
              <w:szCs w:val="16"/>
            </w:rPr>
            <w:t xml:space="preserve">Document: </w:t>
          </w:r>
          <w:proofErr w:type="spellStart"/>
          <w:r w:rsidRPr="000A5AA5">
            <w:rPr>
              <w:sz w:val="16"/>
              <w:szCs w:val="16"/>
            </w:rPr>
            <w:t>TEstimn</w:t>
          </w:r>
          <w:proofErr w:type="spellEnd"/>
          <w:r>
            <w:rPr>
              <w:sz w:val="16"/>
              <w:szCs w:val="16"/>
            </w:rPr>
            <w:t xml:space="preserve"> MDD</w:t>
          </w:r>
        </w:p>
        <w:p w:rsidR="0012696E" w:rsidRPr="00B10816" w:rsidRDefault="0012696E"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12696E" w:rsidRDefault="0012696E"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Sep 17, 2015</w:t>
          </w:r>
          <w:r>
            <w:rPr>
              <w:sz w:val="16"/>
              <w:szCs w:val="16"/>
            </w:rPr>
            <w:fldChar w:fldCharType="end"/>
          </w:r>
        </w:p>
        <w:p w:rsidR="0012696E" w:rsidRPr="00B10816" w:rsidRDefault="0012696E" w:rsidP="00B10816">
          <w:pPr>
            <w:pStyle w:val="Footer"/>
            <w:spacing w:after="0"/>
            <w:jc w:val="center"/>
            <w:rPr>
              <w:sz w:val="16"/>
              <w:szCs w:val="16"/>
            </w:rPr>
          </w:pPr>
          <w:r w:rsidRPr="00B10816">
            <w:rPr>
              <w:sz w:val="16"/>
              <w:szCs w:val="16"/>
            </w:rPr>
            <w:t xml:space="preserve">© </w:t>
          </w:r>
          <w:sdt>
            <w:sdtPr>
              <w:rPr>
                <w:sz w:val="16"/>
                <w:szCs w:val="16"/>
              </w:rPr>
              <w:alias w:val="Company"/>
              <w:tag w:val=""/>
              <w:id w:val="235444217"/>
              <w:dataBinding w:prefixMappings="xmlns:ns0='http://schemas.openxmlformats.org/officeDocument/2006/extended-properties' " w:xpath="/ns0:Properties[1]/ns0:Company[1]" w:storeItemID="{6668398D-A668-4E3E-A5EB-62B293D839F1}"/>
              <w:text/>
            </w:sdtPr>
            <w:sdtEndPr/>
            <w:sdtContent>
              <w:proofErr w:type="spellStart"/>
              <w:r w:rsidRPr="00B10816">
                <w:rPr>
                  <w:sz w:val="16"/>
                  <w:szCs w:val="16"/>
                </w:rPr>
                <w:t>Nexteer</w:t>
              </w:r>
              <w:proofErr w:type="spellEnd"/>
              <w:r w:rsidRPr="00B10816">
                <w:rPr>
                  <w:sz w:val="16"/>
                  <w:szCs w:val="16"/>
                </w:rPr>
                <w:t xml:space="preserve"> Automotive</w:t>
              </w:r>
            </w:sdtContent>
          </w:sdt>
        </w:p>
      </w:tc>
      <w:tc>
        <w:tcPr>
          <w:tcW w:w="1667" w:type="pct"/>
          <w:vAlign w:val="center"/>
        </w:tcPr>
        <w:sdt>
          <w:sdtPr>
            <w:rPr>
              <w:sz w:val="16"/>
              <w:szCs w:val="16"/>
            </w:rPr>
            <w:alias w:val="Title"/>
            <w:tag w:val=""/>
            <w:id w:val="2133749745"/>
            <w:dataBinding w:prefixMappings="xmlns:ns0='http://purl.org/dc/elements/1.1/' xmlns:ns1='http://schemas.openxmlformats.org/package/2006/metadata/core-properties' " w:xpath="/ns1:coreProperties[1]/ns0:title[1]" w:storeItemID="{6C3C8BC8-F283-45AE-878A-BAB7291924A1}"/>
            <w:text/>
          </w:sdtPr>
          <w:sdtEndPr/>
          <w:sdtContent>
            <w:p w:rsidR="0012696E" w:rsidRPr="00B10816" w:rsidRDefault="0012696E" w:rsidP="00B10816">
              <w:pPr>
                <w:pStyle w:val="Footer"/>
                <w:spacing w:after="0"/>
                <w:jc w:val="right"/>
                <w:rPr>
                  <w:sz w:val="16"/>
                  <w:szCs w:val="16"/>
                </w:rPr>
              </w:pPr>
              <w:r>
                <w:rPr>
                  <w:sz w:val="16"/>
                  <w:szCs w:val="16"/>
                </w:rPr>
                <w:t>Module Design Document</w:t>
              </w:r>
            </w:p>
          </w:sdtContent>
        </w:sdt>
        <w:p w:rsidR="0012696E" w:rsidRPr="00B10816" w:rsidRDefault="0012696E"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6B1E80">
            <w:rPr>
              <w:b/>
              <w:noProof/>
              <w:sz w:val="16"/>
              <w:szCs w:val="16"/>
            </w:rPr>
            <w:t>11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6B1E80">
            <w:rPr>
              <w:b/>
              <w:noProof/>
              <w:sz w:val="16"/>
              <w:szCs w:val="16"/>
            </w:rPr>
            <w:t>14</w:t>
          </w:r>
          <w:r w:rsidRPr="00B10816">
            <w:rPr>
              <w:b/>
              <w:sz w:val="16"/>
              <w:szCs w:val="16"/>
            </w:rPr>
            <w:fldChar w:fldCharType="end"/>
          </w:r>
        </w:p>
      </w:tc>
    </w:tr>
  </w:tbl>
  <w:p w:rsidR="0012696E" w:rsidRPr="00B10816" w:rsidRDefault="0012696E"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90B" w:rsidRDefault="005B090B">
      <w:r>
        <w:separator/>
      </w:r>
    </w:p>
  </w:footnote>
  <w:footnote w:type="continuationSeparator" w:id="0">
    <w:p w:rsidR="005B090B" w:rsidRDefault="005B09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12696E" w:rsidRPr="008969C4" w:rsidTr="00866672">
      <w:trPr>
        <w:trHeight w:val="438"/>
      </w:trPr>
      <w:tc>
        <w:tcPr>
          <w:tcW w:w="1443" w:type="pct"/>
        </w:tcPr>
        <w:p w:rsidR="0012696E" w:rsidRPr="008969C4" w:rsidRDefault="0012696E" w:rsidP="00B10816">
          <w:pPr>
            <w:pStyle w:val="Header"/>
            <w:spacing w:after="0"/>
          </w:pPr>
          <w:r w:rsidRPr="008969C4">
            <w:rPr>
              <w:noProof/>
              <w:lang w:bidi="ar-SA"/>
            </w:rPr>
            <w:drawing>
              <wp:inline distT="0" distB="0" distL="0" distR="0" wp14:anchorId="4BBA027F" wp14:editId="39FE92AD">
                <wp:extent cx="1066800" cy="438150"/>
                <wp:effectExtent l="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12696E" w:rsidRPr="00891F29" w:rsidRDefault="0012696E" w:rsidP="00B10816">
          <w:pPr>
            <w:pStyle w:val="Header"/>
            <w:spacing w:after="0"/>
            <w:jc w:val="right"/>
            <w:rPr>
              <w:sz w:val="16"/>
              <w:szCs w:val="20"/>
            </w:rPr>
          </w:pPr>
          <w:proofErr w:type="spellStart"/>
          <w:r w:rsidRPr="00891F29">
            <w:rPr>
              <w:sz w:val="16"/>
              <w:szCs w:val="20"/>
            </w:rPr>
            <w:t>Nexteer</w:t>
          </w:r>
          <w:proofErr w:type="spellEnd"/>
          <w:r w:rsidRPr="00891F29">
            <w:rPr>
              <w:sz w:val="16"/>
              <w:szCs w:val="20"/>
            </w:rPr>
            <w:t xml:space="preserve"> Automotive Confidential Proprietary Information</w:t>
          </w:r>
        </w:p>
        <w:p w:rsidR="0012696E" w:rsidRDefault="0012696E" w:rsidP="00B10816">
          <w:pPr>
            <w:pStyle w:val="Header"/>
            <w:spacing w:after="0"/>
            <w:jc w:val="right"/>
            <w:rPr>
              <w:sz w:val="16"/>
              <w:szCs w:val="20"/>
            </w:rPr>
          </w:pPr>
          <w:r w:rsidRPr="00891F29">
            <w:rPr>
              <w:sz w:val="16"/>
              <w:szCs w:val="20"/>
            </w:rPr>
            <w:t>Do Not Copy/Distribute Without Prior Permission</w:t>
          </w:r>
        </w:p>
        <w:p w:rsidR="0012696E" w:rsidRPr="008969C4" w:rsidRDefault="0012696E" w:rsidP="00B10816">
          <w:pPr>
            <w:pStyle w:val="Header"/>
            <w:spacing w:after="0"/>
            <w:jc w:val="right"/>
            <w:rPr>
              <w:szCs w:val="20"/>
            </w:rPr>
          </w:pPr>
          <w:r w:rsidRPr="000B0DB8">
            <w:rPr>
              <w:sz w:val="16"/>
              <w:szCs w:val="20"/>
            </w:rPr>
            <w:t>This Document Is Uncontrolled When Printed – Verify Version Before Use</w:t>
          </w:r>
        </w:p>
      </w:tc>
    </w:tr>
  </w:tbl>
  <w:p w:rsidR="0012696E" w:rsidRDefault="0012696E">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BFD7798"/>
    <w:multiLevelType w:val="hybridMultilevel"/>
    <w:tmpl w:val="0884ED32"/>
    <w:lvl w:ilvl="0" w:tplc="04090011">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7046093A"/>
    <w:multiLevelType w:val="hybridMultilevel"/>
    <w:tmpl w:val="5866D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3"/>
  </w:num>
  <w:num w:numId="24">
    <w:abstractNumId w:val="13"/>
  </w:num>
  <w:num w:numId="25">
    <w:abstractNumId w:val="13"/>
  </w:num>
  <w:num w:numId="26">
    <w:abstractNumId w:val="13"/>
  </w:num>
  <w:num w:numId="2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A9E"/>
    <w:rsid w:val="000040A2"/>
    <w:rsid w:val="00007584"/>
    <w:rsid w:val="00010BFD"/>
    <w:rsid w:val="00015232"/>
    <w:rsid w:val="00017164"/>
    <w:rsid w:val="000201AB"/>
    <w:rsid w:val="00030567"/>
    <w:rsid w:val="00030607"/>
    <w:rsid w:val="000318E7"/>
    <w:rsid w:val="00034CF6"/>
    <w:rsid w:val="0004234C"/>
    <w:rsid w:val="000429C7"/>
    <w:rsid w:val="00044B01"/>
    <w:rsid w:val="000515DF"/>
    <w:rsid w:val="000558D3"/>
    <w:rsid w:val="000573ED"/>
    <w:rsid w:val="00057E0F"/>
    <w:rsid w:val="00063A7A"/>
    <w:rsid w:val="0006733C"/>
    <w:rsid w:val="000718C3"/>
    <w:rsid w:val="00076DD2"/>
    <w:rsid w:val="00096B85"/>
    <w:rsid w:val="000A5AA5"/>
    <w:rsid w:val="000A5FB2"/>
    <w:rsid w:val="000B01C4"/>
    <w:rsid w:val="000B0DB8"/>
    <w:rsid w:val="000B37D5"/>
    <w:rsid w:val="000B5C1E"/>
    <w:rsid w:val="000B6648"/>
    <w:rsid w:val="000C48A0"/>
    <w:rsid w:val="000E0B71"/>
    <w:rsid w:val="000E102A"/>
    <w:rsid w:val="000E3512"/>
    <w:rsid w:val="000E548A"/>
    <w:rsid w:val="00101127"/>
    <w:rsid w:val="00102C25"/>
    <w:rsid w:val="00105535"/>
    <w:rsid w:val="00105C99"/>
    <w:rsid w:val="001063C7"/>
    <w:rsid w:val="00107593"/>
    <w:rsid w:val="00113021"/>
    <w:rsid w:val="00114319"/>
    <w:rsid w:val="001161D2"/>
    <w:rsid w:val="00120AED"/>
    <w:rsid w:val="0012589C"/>
    <w:rsid w:val="0012696E"/>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A7DB1"/>
    <w:rsid w:val="001B11CC"/>
    <w:rsid w:val="001B1516"/>
    <w:rsid w:val="001B15E2"/>
    <w:rsid w:val="001B4CA5"/>
    <w:rsid w:val="001B716A"/>
    <w:rsid w:val="001C0B31"/>
    <w:rsid w:val="001C3CBB"/>
    <w:rsid w:val="001D2F1D"/>
    <w:rsid w:val="001D6053"/>
    <w:rsid w:val="001E4877"/>
    <w:rsid w:val="001F01F0"/>
    <w:rsid w:val="001F0A02"/>
    <w:rsid w:val="001F4282"/>
    <w:rsid w:val="001F7A45"/>
    <w:rsid w:val="00203950"/>
    <w:rsid w:val="00206564"/>
    <w:rsid w:val="00210877"/>
    <w:rsid w:val="00213F47"/>
    <w:rsid w:val="00216E0A"/>
    <w:rsid w:val="00217199"/>
    <w:rsid w:val="0022572C"/>
    <w:rsid w:val="00226086"/>
    <w:rsid w:val="00233B24"/>
    <w:rsid w:val="002366F0"/>
    <w:rsid w:val="00237876"/>
    <w:rsid w:val="00241551"/>
    <w:rsid w:val="002438FE"/>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5D94"/>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39F3"/>
    <w:rsid w:val="00363FC9"/>
    <w:rsid w:val="00364BF7"/>
    <w:rsid w:val="00364F00"/>
    <w:rsid w:val="003849A4"/>
    <w:rsid w:val="00385119"/>
    <w:rsid w:val="00387BF4"/>
    <w:rsid w:val="00393DBF"/>
    <w:rsid w:val="003A5B2A"/>
    <w:rsid w:val="003B4A55"/>
    <w:rsid w:val="003C0C9C"/>
    <w:rsid w:val="003D456D"/>
    <w:rsid w:val="003F18D9"/>
    <w:rsid w:val="003F3205"/>
    <w:rsid w:val="00401A9E"/>
    <w:rsid w:val="00405E64"/>
    <w:rsid w:val="00410E30"/>
    <w:rsid w:val="004147D1"/>
    <w:rsid w:val="00431255"/>
    <w:rsid w:val="0043410A"/>
    <w:rsid w:val="00436F3E"/>
    <w:rsid w:val="004377FE"/>
    <w:rsid w:val="00440304"/>
    <w:rsid w:val="00444F99"/>
    <w:rsid w:val="004526E6"/>
    <w:rsid w:val="004538E2"/>
    <w:rsid w:val="004539DE"/>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0981"/>
    <w:rsid w:val="00541D9D"/>
    <w:rsid w:val="00541E2D"/>
    <w:rsid w:val="0054769F"/>
    <w:rsid w:val="00551E95"/>
    <w:rsid w:val="00553CD9"/>
    <w:rsid w:val="005604EA"/>
    <w:rsid w:val="00580C6B"/>
    <w:rsid w:val="00585674"/>
    <w:rsid w:val="0058629C"/>
    <w:rsid w:val="00591CEF"/>
    <w:rsid w:val="00592519"/>
    <w:rsid w:val="005955D1"/>
    <w:rsid w:val="005A1C6A"/>
    <w:rsid w:val="005A3EDE"/>
    <w:rsid w:val="005A77EF"/>
    <w:rsid w:val="005B090B"/>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2468"/>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1E80"/>
    <w:rsid w:val="006B5229"/>
    <w:rsid w:val="006B5F56"/>
    <w:rsid w:val="006C12CB"/>
    <w:rsid w:val="006C2D7D"/>
    <w:rsid w:val="006D634C"/>
    <w:rsid w:val="006E1C97"/>
    <w:rsid w:val="006F2855"/>
    <w:rsid w:val="006F3CF4"/>
    <w:rsid w:val="00702C1E"/>
    <w:rsid w:val="00707BA6"/>
    <w:rsid w:val="00711A0D"/>
    <w:rsid w:val="00715441"/>
    <w:rsid w:val="007219DD"/>
    <w:rsid w:val="00722EA8"/>
    <w:rsid w:val="00725671"/>
    <w:rsid w:val="00727610"/>
    <w:rsid w:val="00737A19"/>
    <w:rsid w:val="00751961"/>
    <w:rsid w:val="0075721A"/>
    <w:rsid w:val="00765195"/>
    <w:rsid w:val="00767585"/>
    <w:rsid w:val="00770295"/>
    <w:rsid w:val="00773CA8"/>
    <w:rsid w:val="00783E4E"/>
    <w:rsid w:val="00784FF5"/>
    <w:rsid w:val="00786BDF"/>
    <w:rsid w:val="007874B4"/>
    <w:rsid w:val="007969D1"/>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0DBF"/>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5F09"/>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283B"/>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3402"/>
    <w:rsid w:val="00945677"/>
    <w:rsid w:val="00947A9A"/>
    <w:rsid w:val="00947EA9"/>
    <w:rsid w:val="00957855"/>
    <w:rsid w:val="00964105"/>
    <w:rsid w:val="009643A3"/>
    <w:rsid w:val="00970DBB"/>
    <w:rsid w:val="0097381A"/>
    <w:rsid w:val="009839AF"/>
    <w:rsid w:val="009877AA"/>
    <w:rsid w:val="00992EB9"/>
    <w:rsid w:val="009B0C02"/>
    <w:rsid w:val="009B754B"/>
    <w:rsid w:val="009B7D1A"/>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2997"/>
    <w:rsid w:val="00AC40DF"/>
    <w:rsid w:val="00AC411D"/>
    <w:rsid w:val="00AC4A58"/>
    <w:rsid w:val="00AC4CD8"/>
    <w:rsid w:val="00AC6E5E"/>
    <w:rsid w:val="00AD135E"/>
    <w:rsid w:val="00AD1F0E"/>
    <w:rsid w:val="00AD3866"/>
    <w:rsid w:val="00AD3DBF"/>
    <w:rsid w:val="00AE0435"/>
    <w:rsid w:val="00AE0DCB"/>
    <w:rsid w:val="00AE2063"/>
    <w:rsid w:val="00AE41D4"/>
    <w:rsid w:val="00AE55D3"/>
    <w:rsid w:val="00AE5C76"/>
    <w:rsid w:val="00AE730D"/>
    <w:rsid w:val="00AF6D2A"/>
    <w:rsid w:val="00AF7DDD"/>
    <w:rsid w:val="00B0024F"/>
    <w:rsid w:val="00B10816"/>
    <w:rsid w:val="00B11BE8"/>
    <w:rsid w:val="00B154E6"/>
    <w:rsid w:val="00B21802"/>
    <w:rsid w:val="00B25D10"/>
    <w:rsid w:val="00B26D2C"/>
    <w:rsid w:val="00B35242"/>
    <w:rsid w:val="00B35F84"/>
    <w:rsid w:val="00B52330"/>
    <w:rsid w:val="00B557BA"/>
    <w:rsid w:val="00B5628C"/>
    <w:rsid w:val="00B56762"/>
    <w:rsid w:val="00B629B6"/>
    <w:rsid w:val="00B647EA"/>
    <w:rsid w:val="00B72FDD"/>
    <w:rsid w:val="00B758D2"/>
    <w:rsid w:val="00B81B39"/>
    <w:rsid w:val="00B81C1B"/>
    <w:rsid w:val="00B82427"/>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D794B"/>
    <w:rsid w:val="00BE7F06"/>
    <w:rsid w:val="00BF5242"/>
    <w:rsid w:val="00C0276C"/>
    <w:rsid w:val="00C04F32"/>
    <w:rsid w:val="00C145F2"/>
    <w:rsid w:val="00C22A00"/>
    <w:rsid w:val="00C2356B"/>
    <w:rsid w:val="00C3002A"/>
    <w:rsid w:val="00C373E0"/>
    <w:rsid w:val="00C375E8"/>
    <w:rsid w:val="00C53EAE"/>
    <w:rsid w:val="00C53F02"/>
    <w:rsid w:val="00C54CBD"/>
    <w:rsid w:val="00C55116"/>
    <w:rsid w:val="00C561BB"/>
    <w:rsid w:val="00C62193"/>
    <w:rsid w:val="00C642B0"/>
    <w:rsid w:val="00C64761"/>
    <w:rsid w:val="00C70668"/>
    <w:rsid w:val="00C71EF8"/>
    <w:rsid w:val="00C728E9"/>
    <w:rsid w:val="00C7430F"/>
    <w:rsid w:val="00C74FE6"/>
    <w:rsid w:val="00C77D0E"/>
    <w:rsid w:val="00C80111"/>
    <w:rsid w:val="00C8041D"/>
    <w:rsid w:val="00C80CA8"/>
    <w:rsid w:val="00C845F5"/>
    <w:rsid w:val="00C93030"/>
    <w:rsid w:val="00C93ADA"/>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06A61"/>
    <w:rsid w:val="00D13AA4"/>
    <w:rsid w:val="00D1409A"/>
    <w:rsid w:val="00D16229"/>
    <w:rsid w:val="00D16873"/>
    <w:rsid w:val="00D229A6"/>
    <w:rsid w:val="00D23CB7"/>
    <w:rsid w:val="00D26802"/>
    <w:rsid w:val="00D30924"/>
    <w:rsid w:val="00D4065B"/>
    <w:rsid w:val="00D42EF2"/>
    <w:rsid w:val="00D443E7"/>
    <w:rsid w:val="00D51275"/>
    <w:rsid w:val="00D57071"/>
    <w:rsid w:val="00D57F9F"/>
    <w:rsid w:val="00D60445"/>
    <w:rsid w:val="00D70B1D"/>
    <w:rsid w:val="00D70D96"/>
    <w:rsid w:val="00D757BC"/>
    <w:rsid w:val="00D762B8"/>
    <w:rsid w:val="00D775AC"/>
    <w:rsid w:val="00D77952"/>
    <w:rsid w:val="00D8298E"/>
    <w:rsid w:val="00D8734B"/>
    <w:rsid w:val="00D91C8F"/>
    <w:rsid w:val="00DA5C5C"/>
    <w:rsid w:val="00DB0311"/>
    <w:rsid w:val="00DB1985"/>
    <w:rsid w:val="00DB213C"/>
    <w:rsid w:val="00DB3C1D"/>
    <w:rsid w:val="00DC0959"/>
    <w:rsid w:val="00DC2D5B"/>
    <w:rsid w:val="00DC598C"/>
    <w:rsid w:val="00DD3B65"/>
    <w:rsid w:val="00DD4E7F"/>
    <w:rsid w:val="00DE23CE"/>
    <w:rsid w:val="00DE2FDE"/>
    <w:rsid w:val="00DF4415"/>
    <w:rsid w:val="00E020FC"/>
    <w:rsid w:val="00E03151"/>
    <w:rsid w:val="00E032DB"/>
    <w:rsid w:val="00E044C8"/>
    <w:rsid w:val="00E16D14"/>
    <w:rsid w:val="00E176AB"/>
    <w:rsid w:val="00E21C3F"/>
    <w:rsid w:val="00E23E66"/>
    <w:rsid w:val="00E31AE9"/>
    <w:rsid w:val="00E3395D"/>
    <w:rsid w:val="00E35A9F"/>
    <w:rsid w:val="00E3609B"/>
    <w:rsid w:val="00E36420"/>
    <w:rsid w:val="00E379A5"/>
    <w:rsid w:val="00E46EBF"/>
    <w:rsid w:val="00E51408"/>
    <w:rsid w:val="00E52161"/>
    <w:rsid w:val="00E61FD9"/>
    <w:rsid w:val="00E6550B"/>
    <w:rsid w:val="00E715CB"/>
    <w:rsid w:val="00E84FCD"/>
    <w:rsid w:val="00E8577F"/>
    <w:rsid w:val="00E9004B"/>
    <w:rsid w:val="00EB1228"/>
    <w:rsid w:val="00ED3D2B"/>
    <w:rsid w:val="00EE263E"/>
    <w:rsid w:val="00EE26AB"/>
    <w:rsid w:val="00EE3BBC"/>
    <w:rsid w:val="00EF190F"/>
    <w:rsid w:val="00F1257A"/>
    <w:rsid w:val="00F33BD1"/>
    <w:rsid w:val="00F36729"/>
    <w:rsid w:val="00F3686A"/>
    <w:rsid w:val="00F36CC2"/>
    <w:rsid w:val="00F417BB"/>
    <w:rsid w:val="00F4318C"/>
    <w:rsid w:val="00F43F8E"/>
    <w:rsid w:val="00F50EDF"/>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 w:val="00FF2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BFC9A0F2A4470586541D09ACA6F3CC"/>
        <w:category>
          <w:name w:val="General"/>
          <w:gallery w:val="placeholder"/>
        </w:category>
        <w:types>
          <w:type w:val="bbPlcHdr"/>
        </w:types>
        <w:behaviors>
          <w:behavior w:val="content"/>
        </w:behaviors>
        <w:guid w:val="{2E8562E9-53FE-4893-8664-310A2BB3C37A}"/>
      </w:docPartPr>
      <w:docPartBody>
        <w:p w:rsidR="00F954D6" w:rsidRDefault="00C42526">
          <w:pPr>
            <w:pStyle w:val="F6BFC9A0F2A4470586541D09ACA6F3C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526"/>
    <w:rsid w:val="000371CE"/>
    <w:rsid w:val="000D7E54"/>
    <w:rsid w:val="001B028B"/>
    <w:rsid w:val="004A09CC"/>
    <w:rsid w:val="006109B7"/>
    <w:rsid w:val="00653BC6"/>
    <w:rsid w:val="006B37DE"/>
    <w:rsid w:val="00705F70"/>
    <w:rsid w:val="0072624C"/>
    <w:rsid w:val="00785C66"/>
    <w:rsid w:val="007C672A"/>
    <w:rsid w:val="008B259E"/>
    <w:rsid w:val="0098101A"/>
    <w:rsid w:val="00983464"/>
    <w:rsid w:val="00C42526"/>
    <w:rsid w:val="00E077FC"/>
    <w:rsid w:val="00E26D67"/>
    <w:rsid w:val="00EC2C4A"/>
    <w:rsid w:val="00F9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FC9A0F2A4470586541D09ACA6F3CC">
    <w:name w:val="F6BFC9A0F2A4470586541D09ACA6F3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FC9A0F2A4470586541D09ACA6F3CC">
    <w:name w:val="F6BFC9A0F2A4470586541D09ACA6F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99505A5F-455D-452A-91C4-8A9FF2976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46</TotalTime>
  <Pages>14</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6956</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Windows User</cp:lastModifiedBy>
  <cp:revision>16</cp:revision>
  <cp:lastPrinted>2014-12-17T17:01:00Z</cp:lastPrinted>
  <dcterms:created xsi:type="dcterms:W3CDTF">2015-09-17T16:12:00Z</dcterms:created>
  <dcterms:modified xsi:type="dcterms:W3CDTF">2015-09-25T15:51:00Z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