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B37B03" w:rsidRDefault="00B64849" w:rsidP="007E0373">
      <w:pPr>
        <w:tabs>
          <w:tab w:val="left" w:pos="4320"/>
          <w:tab w:val="left" w:pos="8640"/>
        </w:tabs>
        <w:spacing w:before="120" w:after="360"/>
        <w:jc w:val="center"/>
        <w:rPr>
          <w:rFonts w:cs="Calibri"/>
          <w:b/>
          <w:sz w:val="48"/>
          <w:szCs w:val="48"/>
        </w:rPr>
      </w:pPr>
      <w:proofErr w:type="spellStart"/>
      <w:r w:rsidRPr="00B64849">
        <w:rPr>
          <w:rFonts w:cs="Calibri"/>
          <w:b/>
          <w:sz w:val="48"/>
          <w:szCs w:val="48"/>
        </w:rPr>
        <w:t>PwrpkCmpbltyChk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B64849">
        <w:rPr>
          <w:b/>
          <w:sz w:val="36"/>
        </w:rPr>
        <w:t>Apr</w:t>
      </w:r>
      <w:r w:rsidR="00401A9E">
        <w:rPr>
          <w:b/>
          <w:sz w:val="36"/>
        </w:rPr>
        <w:t xml:space="preserve"> </w:t>
      </w:r>
      <w:r w:rsidR="00B37B03">
        <w:rPr>
          <w:b/>
          <w:sz w:val="36"/>
        </w:rPr>
        <w:t>1</w:t>
      </w:r>
      <w:r w:rsidR="00B64849">
        <w:rPr>
          <w:b/>
          <w:sz w:val="36"/>
        </w:rPr>
        <w:t>2</w:t>
      </w:r>
      <w:r w:rsidR="00401A9E">
        <w:rPr>
          <w:b/>
          <w:sz w:val="36"/>
        </w:rPr>
        <w:t>, 201</w:t>
      </w:r>
      <w:r w:rsidR="00E72614">
        <w:rPr>
          <w:b/>
          <w:sz w:val="36"/>
        </w:rPr>
        <w:t>6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Sankardu</w:t>
      </w:r>
      <w:proofErr w:type="spellEnd"/>
      <w:r w:rsidR="00401A9E">
        <w:rPr>
          <w:b/>
          <w:sz w:val="24"/>
        </w:rPr>
        <w:t xml:space="preserve"> </w:t>
      </w:r>
      <w:proofErr w:type="spellStart"/>
      <w:r w:rsidR="00401A9E">
        <w:rPr>
          <w:b/>
          <w:sz w:val="24"/>
        </w:rPr>
        <w:t>Varadapureddi</w:t>
      </w:r>
      <w:proofErr w:type="spellEnd"/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B37B03" w:rsidP="00B6484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B64849">
              <w:rPr>
                <w:rFonts w:cs="Calibri"/>
              </w:rPr>
              <w:t>2</w:t>
            </w:r>
            <w:r w:rsidR="00401A9E">
              <w:rPr>
                <w:rFonts w:cs="Calibri"/>
              </w:rPr>
              <w:t>-</w:t>
            </w:r>
            <w:r w:rsidR="00B64849">
              <w:rPr>
                <w:rFonts w:cs="Calibri"/>
              </w:rPr>
              <w:t>Apr</w:t>
            </w:r>
            <w:r w:rsidR="00401A9E">
              <w:rPr>
                <w:rFonts w:cs="Calibri"/>
              </w:rPr>
              <w:t>-201</w:t>
            </w:r>
            <w:r w:rsidR="00E72614">
              <w:rPr>
                <w:rFonts w:cs="Calibri"/>
              </w:rPr>
              <w:t>6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3B0521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3B0521" w:rsidRDefault="003B052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8236958" w:history="1">
        <w:r w:rsidRPr="00125267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125267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59" w:history="1">
        <w:r w:rsidRPr="00125267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60" w:history="1">
        <w:r w:rsidRPr="00125267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8236961" w:history="1">
        <w:r w:rsidRPr="00125267">
          <w:rPr>
            <w:rStyle w:val="Hyperlink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125267">
          <w:rPr>
            <w:rStyle w:val="Hyperlink"/>
          </w:rPr>
          <w:t>PwrpkCmpbltyChk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8236962" w:history="1">
        <w:r w:rsidRPr="00125267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125267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63" w:history="1">
        <w:r w:rsidRPr="00125267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</w:rPr>
          <w:t>Graphical representation of PwrpkCmpbltyChk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64" w:history="1">
        <w:r w:rsidRPr="00125267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8236965" w:history="1">
        <w:r w:rsidRPr="00125267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125267">
          <w:rPr>
            <w:rStyle w:val="Hyperlink"/>
          </w:rPr>
          <w:t xml:space="preserve">Component </w:t>
        </w:r>
        <w:r w:rsidRPr="00125267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8236966" w:history="1">
        <w:r w:rsidRPr="00125267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125267">
          <w:rPr>
            <w:rStyle w:val="Hyperlink"/>
          </w:rPr>
          <w:t xml:space="preserve">Function </w:t>
        </w:r>
        <w:r w:rsidRPr="00125267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8236967" w:history="1">
        <w:r w:rsidRPr="00125267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125267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68" w:history="1">
        <w:r w:rsidRPr="00125267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8236969" w:history="1">
        <w:r w:rsidRPr="00125267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125267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8236970" w:history="1">
        <w:r w:rsidRPr="00125267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125267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71" w:history="1">
        <w:r w:rsidRPr="00125267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72" w:history="1">
        <w:r w:rsidRPr="00125267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Init: PwrpkCmpbltyChkInit1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73" w:history="1">
        <w:r w:rsidRPr="00125267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74" w:history="1">
        <w:r w:rsidRPr="00125267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75" w:history="1">
        <w:r w:rsidRPr="00125267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Per: PwrpkCmpbltyChkPer1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76" w:history="1">
        <w:r w:rsidRPr="00125267">
          <w:rPr>
            <w:rStyle w:val="Hyperlink"/>
            <w:rFonts w:cs="Calibri"/>
          </w:rPr>
          <w:t>5.1.2.1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77" w:history="1">
        <w:r w:rsidRPr="00125267">
          <w:rPr>
            <w:rStyle w:val="Hyperlink"/>
            <w:rFonts w:cs="Calibri"/>
          </w:rPr>
          <w:t>5.1.2.2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78" w:history="1">
        <w:r w:rsidRPr="00125267">
          <w:rPr>
            <w:rStyle w:val="Hyperlink"/>
            <w:rFonts w:cs="Calibri"/>
          </w:rPr>
          <w:t>5.1.2.3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79" w:history="1">
        <w:r w:rsidRPr="00125267">
          <w:rPr>
            <w:rStyle w:val="Hyperlink"/>
            <w:rFonts w:cs="Calibri"/>
          </w:rPr>
          <w:t>5.1.2.4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80" w:history="1">
        <w:r w:rsidRPr="00125267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81" w:history="1">
        <w:r w:rsidRPr="00125267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82" w:history="1">
        <w:r w:rsidRPr="00125267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83" w:history="1">
        <w:r w:rsidRPr="00125267">
          <w:rPr>
            <w:rStyle w:val="Hyperlink"/>
            <w:rFonts w:cs="Calibri"/>
          </w:rPr>
          <w:t>5.4.1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84" w:history="1">
        <w:r w:rsidRPr="00125267">
          <w:rPr>
            <w:rStyle w:val="Hyperlink"/>
            <w:rFonts w:cs="Calibri"/>
          </w:rPr>
          <w:t>5.4.1.1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8236985" w:history="1">
        <w:r w:rsidRPr="00125267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125267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8236986" w:history="1">
        <w:r w:rsidRPr="00125267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125267">
          <w:rPr>
            <w:rStyle w:val="Hyperlink"/>
            <w:rFonts w:ascii="Calibri" w:hAnsi="Calibri"/>
          </w:rPr>
          <w:t>Known</w:t>
        </w:r>
        <w:r w:rsidRPr="00125267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8236987" w:history="1">
        <w:r w:rsidRPr="00125267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125267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8236988" w:history="1">
        <w:r w:rsidRPr="00125267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125267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8236989" w:history="1">
        <w:r w:rsidRPr="00125267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125267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B0521" w:rsidRDefault="003B0521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8236990" w:history="1">
        <w:r w:rsidRPr="00125267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12526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_Toc448236990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48236958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48236959"/>
      <w:r w:rsidRPr="00A158C7">
        <w:t>Purpose</w:t>
      </w:r>
      <w:bookmarkEnd w:id="6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0B37D5">
      <w:pPr>
        <w:pStyle w:val="Heading2"/>
      </w:pPr>
      <w:bookmarkStart w:id="7" w:name="_Toc448236960"/>
      <w:r w:rsidRPr="00A158C7">
        <w:t>Scope</w:t>
      </w:r>
      <w:bookmarkEnd w:id="7"/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B64849" w:rsidP="00B64849">
      <w:pPr>
        <w:pStyle w:val="Heading1"/>
      </w:pPr>
      <w:bookmarkStart w:id="8" w:name="_Toc406065228"/>
      <w:bookmarkStart w:id="9" w:name="_Toc448236961"/>
      <w:bookmarkEnd w:id="0"/>
      <w:bookmarkEnd w:id="1"/>
      <w:bookmarkEnd w:id="2"/>
      <w:bookmarkEnd w:id="3"/>
      <w:bookmarkEnd w:id="4"/>
      <w:proofErr w:type="spellStart"/>
      <w:r w:rsidRPr="00B64849">
        <w:lastRenderedPageBreak/>
        <w:t>PwrpkCmpbltyChk</w:t>
      </w:r>
      <w:proofErr w:type="spellEnd"/>
      <w:r w:rsidR="00D229A6">
        <w:t xml:space="preserve"> </w:t>
      </w:r>
      <w:r w:rsidR="00D229A6" w:rsidRPr="00AA38E8">
        <w:t>High-Level Description</w:t>
      </w:r>
      <w:bookmarkEnd w:id="8"/>
      <w:bookmarkEnd w:id="9"/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48236962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AA38E8" w:rsidRDefault="00D229A6" w:rsidP="00B64849">
      <w:pPr>
        <w:pStyle w:val="Heading2"/>
      </w:pPr>
      <w:bookmarkStart w:id="12" w:name="_Toc406065230"/>
      <w:bookmarkStart w:id="13" w:name="_Toc448236963"/>
      <w:r w:rsidRPr="00D229A6">
        <w:t>Graphical</w:t>
      </w:r>
      <w:r>
        <w:t xml:space="preserve"> representation of </w:t>
      </w:r>
      <w:bookmarkEnd w:id="12"/>
      <w:proofErr w:type="spellStart"/>
      <w:r w:rsidR="00B64849" w:rsidRPr="00B64849">
        <w:t>PwrpkCmpbltyChk</w:t>
      </w:r>
      <w:bookmarkEnd w:id="13"/>
      <w:proofErr w:type="spellEnd"/>
    </w:p>
    <w:p w:rsidR="00D229A6" w:rsidRDefault="00D229A6" w:rsidP="00D229A6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r w:rsidR="00B64849">
        <w:rPr>
          <w:noProof/>
          <w:lang w:bidi="ar-SA"/>
        </w:rPr>
        <w:drawing>
          <wp:inline distT="0" distB="0" distL="0" distR="0" wp14:anchorId="78AA0EF4" wp14:editId="2F0CAE69">
            <wp:extent cx="191262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48236964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48236965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48236966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48236967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18080064"/>
      <w:bookmarkStart w:id="30" w:name="_Toc448236968"/>
      <w:r w:rsidRPr="00DA5500">
        <w:rPr>
          <w:rFonts w:ascii="Calibri" w:hAnsi="Calibri"/>
        </w:rPr>
        <w:t>Program (fixed) Constants</w:t>
      </w:r>
      <w:bookmarkEnd w:id="27"/>
      <w:bookmarkEnd w:id="28"/>
      <w:bookmarkEnd w:id="30"/>
    </w:p>
    <w:p w:rsidR="00AC4CD8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48236969"/>
      <w:bookmarkEnd w:id="29"/>
      <w:r w:rsidRPr="00DA5500">
        <w:rPr>
          <w:rFonts w:ascii="Calibri" w:hAnsi="Calibri"/>
        </w:rPr>
        <w:t>Embedded Constants</w:t>
      </w:r>
      <w:bookmarkEnd w:id="31"/>
    </w:p>
    <w:p w:rsidR="000A5AA5" w:rsidRPr="000A5AA5" w:rsidRDefault="00B64849" w:rsidP="000A5AA5">
      <w:pPr>
        <w:rPr>
          <w:lang w:bidi="ar-SA"/>
        </w:rPr>
      </w:pPr>
      <w:r>
        <w:rPr>
          <w:lang w:bidi="ar-SA"/>
        </w:rPr>
        <w:t>R</w:t>
      </w:r>
      <w:r w:rsidR="000A5AA5">
        <w:rPr>
          <w:lang w:bidi="ar-SA"/>
        </w:rPr>
        <w:t>efer .m file</w:t>
      </w:r>
      <w:r w:rsidR="00A33D92">
        <w:rPr>
          <w:lang w:bidi="ar-SA"/>
        </w:rPr>
        <w:t>.</w:t>
      </w:r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48236970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48236971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007584" w:rsidRPr="00B37B03" w:rsidRDefault="00007584" w:rsidP="00B64849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2" w:name="_Toc421011514"/>
      <w:bookmarkStart w:id="43" w:name="_Toc448236972"/>
      <w:proofErr w:type="spellStart"/>
      <w:r w:rsidRPr="00B37B03">
        <w:rPr>
          <w:rFonts w:ascii="Calibri" w:hAnsi="Calibri" w:cs="Calibri"/>
        </w:rPr>
        <w:t>Init</w:t>
      </w:r>
      <w:proofErr w:type="spellEnd"/>
      <w:r w:rsidRPr="00B37B03">
        <w:rPr>
          <w:rFonts w:ascii="Calibri" w:hAnsi="Calibri" w:cs="Calibri"/>
        </w:rPr>
        <w:t xml:space="preserve">: </w:t>
      </w:r>
      <w:bookmarkEnd w:id="42"/>
      <w:r w:rsidR="00B64849" w:rsidRPr="00B64849">
        <w:rPr>
          <w:rFonts w:ascii="Calibri" w:hAnsi="Calibri" w:cs="Calibri"/>
        </w:rPr>
        <w:t>PwrpkCmpbltyChkInit1</w:t>
      </w:r>
      <w:bookmarkEnd w:id="43"/>
    </w:p>
    <w:p w:rsidR="00714679" w:rsidRDefault="00714679" w:rsidP="0071467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4" w:name="_Toc421011515"/>
      <w:bookmarkStart w:id="45" w:name="_Toc430945175"/>
      <w:bookmarkStart w:id="46" w:name="_Toc431482454"/>
      <w:bookmarkStart w:id="47" w:name="_Toc448236973"/>
      <w:r w:rsidRPr="00AA38E8">
        <w:rPr>
          <w:rFonts w:ascii="Calibri" w:hAnsi="Calibri" w:cs="Calibri"/>
        </w:rPr>
        <w:t>Design Rationale</w:t>
      </w:r>
      <w:bookmarkEnd w:id="44"/>
      <w:bookmarkEnd w:id="45"/>
      <w:bookmarkEnd w:id="46"/>
      <w:bookmarkEnd w:id="47"/>
    </w:p>
    <w:p w:rsidR="0052226A" w:rsidRPr="0052226A" w:rsidRDefault="00B37B03" w:rsidP="0052226A">
      <w:pPr>
        <w:rPr>
          <w:lang w:bidi="ar-SA"/>
        </w:rPr>
      </w:pPr>
      <w:r>
        <w:rPr>
          <w:lang w:bidi="ar-SA"/>
        </w:rPr>
        <w:t>Refer FDD</w:t>
      </w:r>
      <w:r w:rsidR="0052226A">
        <w:rPr>
          <w:lang w:bidi="ar-SA"/>
        </w:rPr>
        <w:t xml:space="preserve"> </w:t>
      </w:r>
    </w:p>
    <w:p w:rsidR="00714679" w:rsidRDefault="00714679" w:rsidP="0071467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" w:name="_Toc421011516"/>
      <w:bookmarkStart w:id="49" w:name="_Toc430945176"/>
      <w:bookmarkStart w:id="50" w:name="_Toc431482455"/>
      <w:bookmarkStart w:id="51" w:name="_Toc448236974"/>
      <w:r w:rsidRPr="00AA38E8">
        <w:rPr>
          <w:rFonts w:ascii="Calibri" w:hAnsi="Calibri" w:cs="Calibri"/>
        </w:rPr>
        <w:t>Module Outputs</w:t>
      </w:r>
      <w:bookmarkEnd w:id="48"/>
      <w:bookmarkEnd w:id="49"/>
      <w:bookmarkEnd w:id="50"/>
      <w:bookmarkEnd w:id="51"/>
    </w:p>
    <w:p w:rsidR="00B37B03" w:rsidRPr="00B37B03" w:rsidRDefault="00B37B03" w:rsidP="00B37B03">
      <w:pPr>
        <w:rPr>
          <w:lang w:bidi="ar-SA"/>
        </w:rPr>
      </w:pPr>
      <w:r>
        <w:rPr>
          <w:lang w:bidi="ar-SA"/>
        </w:rPr>
        <w:t>Refer FDD</w:t>
      </w:r>
    </w:p>
    <w:p w:rsidR="00DB3C1D" w:rsidRPr="00AA38E8" w:rsidRDefault="00DB3C1D" w:rsidP="00B64849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2" w:name="_Toc421011518"/>
      <w:bookmarkStart w:id="53" w:name="_Toc448236975"/>
      <w:r w:rsidRPr="00AA38E8">
        <w:rPr>
          <w:rFonts w:ascii="Calibri" w:hAnsi="Calibri" w:cs="Calibri"/>
        </w:rPr>
        <w:t xml:space="preserve">Per: </w:t>
      </w:r>
      <w:bookmarkStart w:id="54" w:name="_GoBack"/>
      <w:bookmarkEnd w:id="52"/>
      <w:r w:rsidR="00B64849" w:rsidRPr="00B64849">
        <w:rPr>
          <w:rFonts w:ascii="Calibri" w:hAnsi="Calibri" w:cs="Calibri"/>
        </w:rPr>
        <w:t>PwrpkCmpbltyChkPer1</w:t>
      </w:r>
      <w:bookmarkEnd w:id="53"/>
      <w:bookmarkEnd w:id="54"/>
    </w:p>
    <w:p w:rsidR="00DB3C1D" w:rsidRPr="00E84FC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5" w:name="_Toc421011519"/>
      <w:bookmarkStart w:id="56" w:name="_Toc448236976"/>
      <w:r w:rsidRPr="00E84FCD">
        <w:rPr>
          <w:rFonts w:ascii="Calibri" w:hAnsi="Calibri" w:cs="Calibri"/>
        </w:rPr>
        <w:t>Design Rationale</w:t>
      </w:r>
      <w:bookmarkEnd w:id="55"/>
      <w:bookmarkEnd w:id="56"/>
    </w:p>
    <w:p w:rsidR="00363FC9" w:rsidRDefault="009904FD" w:rsidP="001F01F0">
      <w:r>
        <w:t>Refer FDD</w:t>
      </w:r>
      <w:r w:rsidR="00DD4CCF">
        <w:t xml:space="preserve">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7" w:name="_Toc421011520"/>
      <w:bookmarkStart w:id="58" w:name="_Toc448236977"/>
      <w:r w:rsidRPr="00AA38E8">
        <w:rPr>
          <w:rFonts w:ascii="Calibri" w:hAnsi="Calibri" w:cs="Calibri"/>
        </w:rPr>
        <w:t>Store Module Inputs to Local copies</w:t>
      </w:r>
      <w:bookmarkEnd w:id="57"/>
      <w:bookmarkEnd w:id="58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9" w:name="_Toc421011521"/>
      <w:bookmarkStart w:id="60" w:name="_Toc448236978"/>
      <w:r w:rsidRPr="00AA38E8">
        <w:rPr>
          <w:rFonts w:ascii="Calibri" w:hAnsi="Calibri" w:cs="Calibri"/>
        </w:rPr>
        <w:t>(Processing of function)………</w:t>
      </w:r>
      <w:bookmarkEnd w:id="59"/>
      <w:bookmarkEnd w:id="60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1" w:name="_Toc421011522"/>
      <w:bookmarkStart w:id="62" w:name="_Toc448236979"/>
      <w:r w:rsidRPr="00AA38E8">
        <w:rPr>
          <w:rFonts w:ascii="Calibri" w:hAnsi="Calibri" w:cs="Calibri"/>
        </w:rPr>
        <w:t>Store Local copy of outputs into Module Outputs</w:t>
      </w:r>
      <w:bookmarkEnd w:id="61"/>
      <w:bookmarkEnd w:id="62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7969D1" w:rsidRPr="007969D1" w:rsidRDefault="008C6874" w:rsidP="007969D1">
      <w:pPr>
        <w:pStyle w:val="Heading2"/>
        <w:spacing w:after="60"/>
        <w:rPr>
          <w:rFonts w:ascii="Calibri" w:hAnsi="Calibri"/>
        </w:rPr>
      </w:pPr>
      <w:bookmarkStart w:id="63" w:name="_Toc448236980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63"/>
      <w:proofErr w:type="spellEnd"/>
      <w:r w:rsidR="002B094F" w:rsidRPr="008C6874">
        <w:rPr>
          <w:rFonts w:ascii="Calibri" w:hAnsi="Calibri"/>
        </w:rPr>
        <w:t xml:space="preserve"> </w:t>
      </w:r>
      <w:bookmarkStart w:id="64" w:name="_Toc382301471"/>
      <w:bookmarkStart w:id="65" w:name="_Toc383698997"/>
      <w:bookmarkEnd w:id="64"/>
      <w:bookmarkEnd w:id="65"/>
    </w:p>
    <w:p w:rsidR="00B37B03" w:rsidRPr="0033680E" w:rsidRDefault="00B64849" w:rsidP="007969D1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6" w:name="_Ref382299966"/>
      <w:bookmarkStart w:id="67" w:name="_Toc421011529"/>
      <w:bookmarkStart w:id="68" w:name="_Toc448236981"/>
      <w:r w:rsidRPr="00AA38E8">
        <w:rPr>
          <w:rFonts w:ascii="Calibri" w:hAnsi="Calibri" w:cs="Calibri"/>
        </w:rPr>
        <w:t>Interrupt Functions</w:t>
      </w:r>
      <w:bookmarkEnd w:id="66"/>
      <w:bookmarkEnd w:id="67"/>
      <w:bookmarkEnd w:id="68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9" w:name="_Toc338170485"/>
      <w:bookmarkStart w:id="70" w:name="_Toc418080074"/>
      <w:bookmarkStart w:id="71" w:name="_Toc421709919"/>
      <w:bookmarkStart w:id="72" w:name="_Toc448236982"/>
      <w:r w:rsidRPr="008C6874">
        <w:rPr>
          <w:rFonts w:ascii="Calibri" w:hAnsi="Calibri" w:cs="Calibri"/>
        </w:rPr>
        <w:t>Module Internal (Local) Functions</w:t>
      </w:r>
      <w:bookmarkEnd w:id="69"/>
      <w:bookmarkEnd w:id="70"/>
      <w:bookmarkEnd w:id="71"/>
      <w:bookmarkEnd w:id="72"/>
    </w:p>
    <w:p w:rsidR="002F5138" w:rsidRPr="002F5138" w:rsidRDefault="002F5138" w:rsidP="002F513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73" w:name="_Toc414443275"/>
      <w:bookmarkStart w:id="74" w:name="_Toc420488402"/>
      <w:bookmarkStart w:id="75" w:name="_Toc448236983"/>
      <w:r w:rsidRPr="002F5138">
        <w:rPr>
          <w:rFonts w:ascii="Calibri" w:hAnsi="Calibri" w:cs="Calibri"/>
        </w:rPr>
        <w:t>Local Function #1</w:t>
      </w:r>
      <w:bookmarkEnd w:id="73"/>
      <w:bookmarkEnd w:id="74"/>
      <w:bookmarkEnd w:id="7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4385"/>
        <w:gridCol w:w="1173"/>
        <w:gridCol w:w="1083"/>
        <w:gridCol w:w="23"/>
        <w:gridCol w:w="932"/>
      </w:tblGrid>
      <w:tr w:rsidR="002F5138" w:rsidRPr="00AA38E8" w:rsidTr="008003B3">
        <w:tc>
          <w:tcPr>
            <w:tcW w:w="1332" w:type="dxa"/>
          </w:tcPr>
          <w:p w:rsidR="002F5138" w:rsidRPr="003877CA" w:rsidRDefault="002F5138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4385" w:type="dxa"/>
          </w:tcPr>
          <w:p w:rsidR="002F5138" w:rsidRPr="003877CA" w:rsidRDefault="00B64849" w:rsidP="003F765F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B64849">
              <w:rPr>
                <w:rFonts w:cs="Calibri"/>
                <w:sz w:val="18"/>
                <w:szCs w:val="18"/>
              </w:rPr>
              <w:t>GearIdnVldStatChk</w:t>
            </w:r>
            <w:proofErr w:type="spellEnd"/>
          </w:p>
        </w:tc>
        <w:tc>
          <w:tcPr>
            <w:tcW w:w="1173" w:type="dxa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106" w:type="dxa"/>
            <w:gridSpan w:val="2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1A30BD" w:rsidRPr="00AA38E8" w:rsidTr="008003B3">
        <w:tc>
          <w:tcPr>
            <w:tcW w:w="1332" w:type="dxa"/>
          </w:tcPr>
          <w:p w:rsidR="001A30BD" w:rsidRPr="003877CA" w:rsidRDefault="001A30BD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4385" w:type="dxa"/>
          </w:tcPr>
          <w:p w:rsidR="001A30BD" w:rsidRPr="003877CA" w:rsidRDefault="00B64849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B64849">
              <w:rPr>
                <w:rFonts w:cs="Calibri"/>
                <w:sz w:val="18"/>
                <w:szCs w:val="18"/>
              </w:rPr>
              <w:t>GearIdn1VldStat_Cnt_T_lgc</w:t>
            </w:r>
          </w:p>
        </w:tc>
        <w:tc>
          <w:tcPr>
            <w:tcW w:w="1173" w:type="dxa"/>
          </w:tcPr>
          <w:p w:rsidR="001A30BD" w:rsidRDefault="00B64849"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083" w:type="dxa"/>
          </w:tcPr>
          <w:p w:rsidR="001A30BD" w:rsidRPr="003877CA" w:rsidRDefault="00B64849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955" w:type="dxa"/>
            <w:gridSpan w:val="2"/>
          </w:tcPr>
          <w:p w:rsidR="001A30BD" w:rsidRPr="003877CA" w:rsidRDefault="00B64849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B64849" w:rsidRPr="00AA38E8" w:rsidTr="008003B3">
        <w:tc>
          <w:tcPr>
            <w:tcW w:w="1332" w:type="dxa"/>
          </w:tcPr>
          <w:p w:rsidR="00B64849" w:rsidRPr="003877CA" w:rsidRDefault="00B64849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385" w:type="dxa"/>
          </w:tcPr>
          <w:p w:rsidR="00B64849" w:rsidRPr="00886D7D" w:rsidRDefault="00B64849" w:rsidP="00B64849">
            <w:pPr>
              <w:spacing w:before="60"/>
              <w:rPr>
                <w:rFonts w:cs="Calibri"/>
                <w:sz w:val="18"/>
                <w:szCs w:val="18"/>
              </w:rPr>
            </w:pPr>
            <w:r w:rsidRPr="00B64849">
              <w:rPr>
                <w:rFonts w:cs="Calibri"/>
                <w:sz w:val="18"/>
                <w:szCs w:val="18"/>
              </w:rPr>
              <w:t>GearIdn</w:t>
            </w:r>
            <w:r>
              <w:rPr>
                <w:rFonts w:cs="Calibri"/>
                <w:sz w:val="18"/>
                <w:szCs w:val="18"/>
              </w:rPr>
              <w:t>2</w:t>
            </w:r>
            <w:r w:rsidRPr="00B64849">
              <w:rPr>
                <w:rFonts w:cs="Calibri"/>
                <w:sz w:val="18"/>
                <w:szCs w:val="18"/>
              </w:rPr>
              <w:t>VldStat_Cnt_T_lgc</w:t>
            </w:r>
          </w:p>
        </w:tc>
        <w:tc>
          <w:tcPr>
            <w:tcW w:w="1173" w:type="dxa"/>
          </w:tcPr>
          <w:p w:rsidR="00B64849" w:rsidRDefault="00B64849" w:rsidP="004830A5"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083" w:type="dxa"/>
          </w:tcPr>
          <w:p w:rsidR="00B64849" w:rsidRPr="003877CA" w:rsidRDefault="00B64849" w:rsidP="004830A5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955" w:type="dxa"/>
            <w:gridSpan w:val="2"/>
          </w:tcPr>
          <w:p w:rsidR="00B64849" w:rsidRPr="003877CA" w:rsidRDefault="00B64849" w:rsidP="004830A5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B64849" w:rsidRPr="00AA38E8" w:rsidTr="008003B3">
        <w:tc>
          <w:tcPr>
            <w:tcW w:w="1332" w:type="dxa"/>
          </w:tcPr>
          <w:p w:rsidR="00B64849" w:rsidRPr="003877CA" w:rsidRDefault="00B64849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4385" w:type="dxa"/>
          </w:tcPr>
          <w:p w:rsidR="00B64849" w:rsidRPr="003877CA" w:rsidRDefault="00B64849" w:rsidP="003F765F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B64849">
              <w:rPr>
                <w:rFonts w:cs="Calibri"/>
                <w:sz w:val="18"/>
                <w:szCs w:val="18"/>
              </w:rPr>
              <w:t>GearIdnVldStat_Cnt_T_lgc</w:t>
            </w:r>
            <w:proofErr w:type="spellEnd"/>
          </w:p>
        </w:tc>
        <w:tc>
          <w:tcPr>
            <w:tcW w:w="1173" w:type="dxa"/>
          </w:tcPr>
          <w:p w:rsidR="00B64849" w:rsidRDefault="00B64849" w:rsidP="004830A5"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083" w:type="dxa"/>
          </w:tcPr>
          <w:p w:rsidR="00B64849" w:rsidRPr="003877CA" w:rsidRDefault="00B64849" w:rsidP="004830A5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955" w:type="dxa"/>
            <w:gridSpan w:val="2"/>
          </w:tcPr>
          <w:p w:rsidR="00B64849" w:rsidRPr="003877CA" w:rsidRDefault="00B64849" w:rsidP="004830A5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</w:tbl>
    <w:p w:rsidR="002F5138" w:rsidRPr="002F5138" w:rsidRDefault="002F5138" w:rsidP="002F513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6" w:name="_Toc406065269"/>
      <w:bookmarkStart w:id="77" w:name="_Toc414443276"/>
      <w:bookmarkStart w:id="78" w:name="_Toc420488403"/>
      <w:bookmarkStart w:id="79" w:name="_Toc448236984"/>
      <w:r w:rsidRPr="002F5138">
        <w:rPr>
          <w:rFonts w:ascii="Calibri" w:hAnsi="Calibri" w:cs="Calibri"/>
        </w:rPr>
        <w:lastRenderedPageBreak/>
        <w:t>Description</w:t>
      </w:r>
      <w:bookmarkEnd w:id="76"/>
      <w:bookmarkEnd w:id="77"/>
      <w:bookmarkEnd w:id="78"/>
      <w:bookmarkEnd w:id="79"/>
    </w:p>
    <w:p w:rsidR="00404A3F" w:rsidRDefault="00B64849" w:rsidP="00404A3F">
      <w:pPr>
        <w:autoSpaceDE w:val="0"/>
        <w:autoSpaceDN w:val="0"/>
        <w:adjustRightInd w:val="0"/>
        <w:rPr>
          <w:sz w:val="18"/>
          <w:szCs w:val="18"/>
          <w:lang w:bidi="ar-SA"/>
        </w:rPr>
      </w:pPr>
      <w:bookmarkStart w:id="80" w:name="_Toc421011542"/>
      <w:r w:rsidRPr="00B64849">
        <w:rPr>
          <w:sz w:val="18"/>
          <w:szCs w:val="18"/>
          <w:lang w:bidi="ar-SA"/>
        </w:rPr>
        <w:t>If both 'GearIdn1VldStat' and 'GearIdn2VldStat' are TRUE then return TRUE</w:t>
      </w:r>
      <w:r>
        <w:rPr>
          <w:sz w:val="18"/>
          <w:szCs w:val="18"/>
          <w:lang w:bidi="ar-SA"/>
        </w:rPr>
        <w:t>,</w:t>
      </w:r>
      <w:r w:rsidRPr="00B64849">
        <w:rPr>
          <w:sz w:val="18"/>
          <w:szCs w:val="18"/>
          <w:lang w:bidi="ar-SA"/>
        </w:rPr>
        <w:t xml:space="preserve"> else return FALSE.</w:t>
      </w:r>
      <w:r>
        <w:rPr>
          <w:sz w:val="18"/>
          <w:szCs w:val="18"/>
          <w:lang w:bidi="ar-SA"/>
        </w:rPr>
        <w:t xml:space="preserve"> </w:t>
      </w:r>
      <w:r w:rsidRPr="00B64849">
        <w:rPr>
          <w:sz w:val="18"/>
          <w:szCs w:val="18"/>
          <w:lang w:bidi="ar-SA"/>
        </w:rPr>
        <w:t xml:space="preserve">This function is created to reduce </w:t>
      </w:r>
      <w:proofErr w:type="spellStart"/>
      <w:r w:rsidRPr="00B64849">
        <w:rPr>
          <w:sz w:val="18"/>
          <w:szCs w:val="18"/>
          <w:lang w:bidi="ar-SA"/>
        </w:rPr>
        <w:t>cyclomatic</w:t>
      </w:r>
      <w:proofErr w:type="spellEnd"/>
      <w:r w:rsidRPr="00B64849">
        <w:rPr>
          <w:sz w:val="18"/>
          <w:szCs w:val="18"/>
          <w:lang w:bidi="ar-SA"/>
        </w:rPr>
        <w:t xml:space="preserve"> complexity.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81" w:name="_Toc448236985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80"/>
      <w:bookmarkEnd w:id="81"/>
    </w:p>
    <w:p w:rsidR="008C6874" w:rsidRDefault="009B7D1A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Pr="005B72B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2" w:name="_Toc418080076"/>
      <w:bookmarkStart w:id="83" w:name="_Toc421709921"/>
      <w:bookmarkStart w:id="84" w:name="_Toc448236986"/>
      <w:r w:rsidRPr="005B72BC">
        <w:rPr>
          <w:rFonts w:ascii="Calibri" w:hAnsi="Calibri"/>
        </w:rPr>
        <w:lastRenderedPageBreak/>
        <w:t>Known</w:t>
      </w:r>
      <w:r w:rsidRPr="005B72BC">
        <w:rPr>
          <w:rFonts w:ascii="Calibri" w:hAnsi="Calibri" w:cs="Calibri"/>
        </w:rPr>
        <w:t xml:space="preserve"> Limitations with Design</w:t>
      </w:r>
      <w:bookmarkEnd w:id="82"/>
      <w:bookmarkEnd w:id="83"/>
      <w:bookmarkEnd w:id="84"/>
    </w:p>
    <w:p w:rsidR="0011537F" w:rsidRDefault="00333D67" w:rsidP="00B64849">
      <w:pPr>
        <w:jc w:val="both"/>
      </w:pPr>
      <w:r>
        <w:t>None</w:t>
      </w:r>
    </w:p>
    <w:p w:rsidR="001F4282" w:rsidRPr="00B26D2C" w:rsidRDefault="001F4282" w:rsidP="0043410A">
      <w:pPr>
        <w:pStyle w:val="ListParagraph"/>
        <w:rPr>
          <w:rFonts w:cs="Calibri"/>
          <w:i/>
        </w:rPr>
      </w:pPr>
    </w:p>
    <w:p w:rsidR="00531B8C" w:rsidRDefault="00531B8C" w:rsidP="00531B8C">
      <w:pPr>
        <w:rPr>
          <w:rFonts w:cs="Calibri"/>
        </w:rPr>
      </w:pP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5" w:name="_Toc382297449"/>
      <w:bookmarkStart w:id="86" w:name="_Toc418080077"/>
      <w:bookmarkStart w:id="87" w:name="_Toc421709922"/>
      <w:bookmarkStart w:id="88" w:name="_Toc448236987"/>
      <w:r w:rsidRPr="00E75CFE">
        <w:rPr>
          <w:rFonts w:ascii="Calibri" w:hAnsi="Calibri" w:cs="Calibri"/>
        </w:rPr>
        <w:lastRenderedPageBreak/>
        <w:t>UNIT TEST CONSIDERATION</w:t>
      </w:r>
      <w:bookmarkEnd w:id="85"/>
      <w:bookmarkEnd w:id="86"/>
      <w:bookmarkEnd w:id="87"/>
      <w:bookmarkEnd w:id="88"/>
    </w:p>
    <w:p w:rsidR="00250144" w:rsidRDefault="00250144" w:rsidP="00531B8C">
      <w:pPr>
        <w:rPr>
          <w:lang w:bidi="ar-SA"/>
        </w:rPr>
      </w:pPr>
      <w:r>
        <w:t>None</w:t>
      </w: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531B8C" w:rsidRPr="00250144" w:rsidRDefault="00250144" w:rsidP="00250144">
      <w:pPr>
        <w:tabs>
          <w:tab w:val="left" w:pos="6636"/>
        </w:tabs>
        <w:rPr>
          <w:lang w:bidi="ar-SA"/>
        </w:rPr>
      </w:pPr>
      <w:r>
        <w:rPr>
          <w:lang w:bidi="ar-SA"/>
        </w:rPr>
        <w:tab/>
      </w:r>
    </w:p>
    <w:p w:rsidR="00786BDF" w:rsidRPr="00A158C7" w:rsidRDefault="00786BDF" w:rsidP="000B37D5">
      <w:pPr>
        <w:pStyle w:val="Heading7"/>
      </w:pPr>
      <w:bookmarkStart w:id="89" w:name="_Toc448236988"/>
      <w:r w:rsidRPr="00A158C7">
        <w:lastRenderedPageBreak/>
        <w:t>Abbreviations and Acronyms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90" w:name="_Toc448236989"/>
      <w:r w:rsidRPr="00A158C7">
        <w:lastRenderedPageBreak/>
        <w:t>Glossary</w:t>
      </w:r>
      <w:bookmarkEnd w:id="90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91" w:name="_Toc448236990"/>
      <w:r w:rsidRPr="00A158C7">
        <w:lastRenderedPageBreak/>
        <w:t>References</w:t>
      </w:r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92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92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9E4C5C" w:rsidP="0052226A">
            <w:pPr>
              <w:rPr>
                <w:lang w:bidi="ar-SA"/>
              </w:rPr>
            </w:pPr>
            <w:r>
              <w:t>EA4 01.00.01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712AF0" w:rsidP="00B758D2">
            <w:pPr>
              <w:keepNext/>
            </w:pPr>
            <w:hyperlink r:id="rId15" w:history="1">
              <w:bookmarkStart w:id="93" w:name="_Ref335300243"/>
              <w:r w:rsidR="00531B8C" w:rsidRPr="00FC427F">
                <w:t>Software Naming Conventions.doc</w:t>
              </w:r>
              <w:bookmarkEnd w:id="93"/>
            </w:hyperlink>
          </w:p>
        </w:tc>
        <w:tc>
          <w:tcPr>
            <w:tcW w:w="2091" w:type="dxa"/>
            <w:shd w:val="clear" w:color="auto" w:fill="auto"/>
          </w:tcPr>
          <w:p w:rsidR="00531B8C" w:rsidRDefault="00B64849" w:rsidP="0052226A">
            <w:pPr>
              <w:rPr>
                <w:lang w:bidi="ar-SA"/>
              </w:rPr>
            </w:pPr>
            <w:r>
              <w:t>EA4 01.00.00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94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 w:rsidRPr="00E20034">
              <w:t>Software Design and Coding Standards.doc</w:t>
            </w:r>
            <w:r>
              <w:fldChar w:fldCharType="end"/>
            </w:r>
            <w:bookmarkEnd w:id="94"/>
          </w:p>
        </w:tc>
        <w:tc>
          <w:tcPr>
            <w:tcW w:w="2091" w:type="dxa"/>
            <w:shd w:val="clear" w:color="auto" w:fill="auto"/>
          </w:tcPr>
          <w:p w:rsidR="00531B8C" w:rsidRDefault="00E20034" w:rsidP="0052226A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2.1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DC2D5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Pr="00333D67" w:rsidRDefault="00DC2D5B" w:rsidP="00D660E6">
            <w:pPr>
              <w:autoSpaceDE w:val="0"/>
              <w:autoSpaceDN w:val="0"/>
              <w:adjustRightInd w:val="0"/>
              <w:spacing w:after="0"/>
            </w:pPr>
            <w:r>
              <w:t xml:space="preserve">FDD : </w:t>
            </w:r>
            <w:r w:rsidR="00D660E6">
              <w:t>SF054A</w:t>
            </w:r>
            <w:r w:rsidR="001A7DB1" w:rsidRPr="001A7DB1">
              <w:t>_</w:t>
            </w:r>
            <w:r w:rsidR="00D660E6" w:rsidRPr="00D660E6">
              <w:t>PwrpkCmpbltyChk</w:t>
            </w:r>
            <w:r w:rsidRPr="00DC2D5B">
              <w:t>_Design</w:t>
            </w:r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AF0" w:rsidRDefault="00712AF0">
      <w:r>
        <w:separator/>
      </w:r>
    </w:p>
  </w:endnote>
  <w:endnote w:type="continuationSeparator" w:id="0">
    <w:p w:rsidR="00712AF0" w:rsidRDefault="0071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886D7D" w:rsidRPr="00B10816" w:rsidTr="00866672">
      <w:tc>
        <w:tcPr>
          <w:tcW w:w="1667" w:type="pct"/>
          <w:vAlign w:val="center"/>
        </w:tcPr>
        <w:p w:rsidR="00886D7D" w:rsidRPr="00B10816" w:rsidRDefault="00886D7D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B64849" w:rsidRPr="00B64849">
            <w:rPr>
              <w:sz w:val="16"/>
              <w:szCs w:val="16"/>
            </w:rPr>
            <w:t>PwrpkCmpbltyChk</w:t>
          </w:r>
          <w:proofErr w:type="spellEnd"/>
          <w:r w:rsidR="00B37B03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MDD</w:t>
          </w:r>
        </w:p>
        <w:p w:rsidR="00886D7D" w:rsidRPr="00B10816" w:rsidRDefault="00886D7D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886D7D" w:rsidRDefault="00886D7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B64849">
            <w:rPr>
              <w:sz w:val="16"/>
              <w:szCs w:val="16"/>
            </w:rPr>
            <w:t>Apr 12</w:t>
          </w:r>
          <w:r>
            <w:rPr>
              <w:sz w:val="16"/>
              <w:szCs w:val="16"/>
            </w:rPr>
            <w:t>, 201</w:t>
          </w:r>
          <w:r>
            <w:rPr>
              <w:sz w:val="16"/>
              <w:szCs w:val="16"/>
            </w:rPr>
            <w:fldChar w:fldCharType="end"/>
          </w:r>
          <w:r w:rsidR="00B64849">
            <w:rPr>
              <w:sz w:val="16"/>
              <w:szCs w:val="16"/>
            </w:rPr>
            <w:t>6</w:t>
          </w:r>
        </w:p>
        <w:p w:rsidR="00886D7D" w:rsidRPr="00B10816" w:rsidRDefault="00886D7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23544421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21337497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6D7D" w:rsidRPr="00B10816" w:rsidRDefault="00886D7D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886D7D" w:rsidRPr="00B10816" w:rsidRDefault="00886D7D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3B0521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3B0521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886D7D" w:rsidRPr="00B10816" w:rsidRDefault="00886D7D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AF0" w:rsidRDefault="00712AF0">
      <w:r>
        <w:separator/>
      </w:r>
    </w:p>
  </w:footnote>
  <w:footnote w:type="continuationSeparator" w:id="0">
    <w:p w:rsidR="00712AF0" w:rsidRDefault="00712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886D7D" w:rsidRPr="008969C4" w:rsidTr="00866672">
      <w:trPr>
        <w:trHeight w:val="438"/>
      </w:trPr>
      <w:tc>
        <w:tcPr>
          <w:tcW w:w="1443" w:type="pct"/>
        </w:tcPr>
        <w:p w:rsidR="00886D7D" w:rsidRPr="008969C4" w:rsidRDefault="00886D7D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4BBA027F" wp14:editId="39FE92AD">
                <wp:extent cx="1066800" cy="438150"/>
                <wp:effectExtent l="0" t="0" r="0" b="0"/>
                <wp:docPr id="3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886D7D" w:rsidRPr="00891F29" w:rsidRDefault="00886D7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886D7D" w:rsidRDefault="00886D7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886D7D" w:rsidRPr="008969C4" w:rsidRDefault="00886D7D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886D7D" w:rsidRDefault="00886D7D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68A41626"/>
    <w:multiLevelType w:val="hybridMultilevel"/>
    <w:tmpl w:val="5E88D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7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6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17164"/>
    <w:rsid w:val="000201AB"/>
    <w:rsid w:val="00030567"/>
    <w:rsid w:val="00030607"/>
    <w:rsid w:val="000318E7"/>
    <w:rsid w:val="00034CF6"/>
    <w:rsid w:val="00040F83"/>
    <w:rsid w:val="0004234C"/>
    <w:rsid w:val="000429C7"/>
    <w:rsid w:val="00044B01"/>
    <w:rsid w:val="000515DF"/>
    <w:rsid w:val="000558D3"/>
    <w:rsid w:val="000573ED"/>
    <w:rsid w:val="00057E0F"/>
    <w:rsid w:val="000623F7"/>
    <w:rsid w:val="00063A7A"/>
    <w:rsid w:val="0006733C"/>
    <w:rsid w:val="000718C3"/>
    <w:rsid w:val="00076DD2"/>
    <w:rsid w:val="00080018"/>
    <w:rsid w:val="00096B85"/>
    <w:rsid w:val="000A5AA5"/>
    <w:rsid w:val="000A5FB2"/>
    <w:rsid w:val="000B01C4"/>
    <w:rsid w:val="000B0DB8"/>
    <w:rsid w:val="000B37D5"/>
    <w:rsid w:val="000B5C1E"/>
    <w:rsid w:val="000B6648"/>
    <w:rsid w:val="000C02C8"/>
    <w:rsid w:val="000C48A0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537F"/>
    <w:rsid w:val="001161D2"/>
    <w:rsid w:val="00120AED"/>
    <w:rsid w:val="0012589C"/>
    <w:rsid w:val="0012696E"/>
    <w:rsid w:val="001278D4"/>
    <w:rsid w:val="00131D7B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30BD"/>
    <w:rsid w:val="001A6A75"/>
    <w:rsid w:val="001A7DB1"/>
    <w:rsid w:val="001A7E08"/>
    <w:rsid w:val="001B11CC"/>
    <w:rsid w:val="001B1516"/>
    <w:rsid w:val="001B15E2"/>
    <w:rsid w:val="001B4CA5"/>
    <w:rsid w:val="001B716A"/>
    <w:rsid w:val="001C0B31"/>
    <w:rsid w:val="001C3CBB"/>
    <w:rsid w:val="001D2F1D"/>
    <w:rsid w:val="001D6053"/>
    <w:rsid w:val="001E4877"/>
    <w:rsid w:val="001F01F0"/>
    <w:rsid w:val="001F0A02"/>
    <w:rsid w:val="001F4282"/>
    <w:rsid w:val="001F7A45"/>
    <w:rsid w:val="00203950"/>
    <w:rsid w:val="00206564"/>
    <w:rsid w:val="0021065E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0082"/>
    <w:rsid w:val="00241551"/>
    <w:rsid w:val="002438FE"/>
    <w:rsid w:val="00246432"/>
    <w:rsid w:val="00246474"/>
    <w:rsid w:val="00246857"/>
    <w:rsid w:val="00246930"/>
    <w:rsid w:val="00250144"/>
    <w:rsid w:val="002518E0"/>
    <w:rsid w:val="00252485"/>
    <w:rsid w:val="002540D9"/>
    <w:rsid w:val="00256656"/>
    <w:rsid w:val="00256D7F"/>
    <w:rsid w:val="00260133"/>
    <w:rsid w:val="00272F9C"/>
    <w:rsid w:val="00273A0B"/>
    <w:rsid w:val="002905EB"/>
    <w:rsid w:val="002A3DCD"/>
    <w:rsid w:val="002A4407"/>
    <w:rsid w:val="002A46ED"/>
    <w:rsid w:val="002A5D94"/>
    <w:rsid w:val="002A6127"/>
    <w:rsid w:val="002B094F"/>
    <w:rsid w:val="002B1587"/>
    <w:rsid w:val="002B2B02"/>
    <w:rsid w:val="002B6E4E"/>
    <w:rsid w:val="002B6FA5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5138"/>
    <w:rsid w:val="0030250D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33D67"/>
    <w:rsid w:val="0034184E"/>
    <w:rsid w:val="00341ED6"/>
    <w:rsid w:val="00347652"/>
    <w:rsid w:val="00352E4B"/>
    <w:rsid w:val="00361921"/>
    <w:rsid w:val="00362B86"/>
    <w:rsid w:val="00362CE5"/>
    <w:rsid w:val="00363975"/>
    <w:rsid w:val="003639F3"/>
    <w:rsid w:val="00363FC9"/>
    <w:rsid w:val="00364BF7"/>
    <w:rsid w:val="00364F00"/>
    <w:rsid w:val="003849A4"/>
    <w:rsid w:val="00385119"/>
    <w:rsid w:val="00387BF4"/>
    <w:rsid w:val="00393DBF"/>
    <w:rsid w:val="003A5B2A"/>
    <w:rsid w:val="003A722B"/>
    <w:rsid w:val="003B0521"/>
    <w:rsid w:val="003B4A55"/>
    <w:rsid w:val="003C0C9C"/>
    <w:rsid w:val="003D456D"/>
    <w:rsid w:val="003D4CC0"/>
    <w:rsid w:val="003F18D9"/>
    <w:rsid w:val="003F3205"/>
    <w:rsid w:val="003F765F"/>
    <w:rsid w:val="00401A9E"/>
    <w:rsid w:val="00404A3F"/>
    <w:rsid w:val="00405E64"/>
    <w:rsid w:val="00410E30"/>
    <w:rsid w:val="004147D1"/>
    <w:rsid w:val="00431255"/>
    <w:rsid w:val="0043410A"/>
    <w:rsid w:val="00436F3E"/>
    <w:rsid w:val="004377FE"/>
    <w:rsid w:val="00440304"/>
    <w:rsid w:val="00444F99"/>
    <w:rsid w:val="004526E6"/>
    <w:rsid w:val="004538E2"/>
    <w:rsid w:val="004539DE"/>
    <w:rsid w:val="00453CBC"/>
    <w:rsid w:val="00460D68"/>
    <w:rsid w:val="004610FA"/>
    <w:rsid w:val="00462B18"/>
    <w:rsid w:val="00462D3A"/>
    <w:rsid w:val="00464103"/>
    <w:rsid w:val="00467BB2"/>
    <w:rsid w:val="00480A9D"/>
    <w:rsid w:val="00482BAD"/>
    <w:rsid w:val="004863BF"/>
    <w:rsid w:val="004907B4"/>
    <w:rsid w:val="00495491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226A"/>
    <w:rsid w:val="00527EC6"/>
    <w:rsid w:val="00531B8C"/>
    <w:rsid w:val="0053510E"/>
    <w:rsid w:val="005366FA"/>
    <w:rsid w:val="00537B43"/>
    <w:rsid w:val="00540486"/>
    <w:rsid w:val="00540749"/>
    <w:rsid w:val="00540981"/>
    <w:rsid w:val="00541D56"/>
    <w:rsid w:val="00541D9D"/>
    <w:rsid w:val="00541E2D"/>
    <w:rsid w:val="0054769F"/>
    <w:rsid w:val="00551E95"/>
    <w:rsid w:val="00553CD9"/>
    <w:rsid w:val="005604EA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90B"/>
    <w:rsid w:val="005B3586"/>
    <w:rsid w:val="005B6300"/>
    <w:rsid w:val="005B6345"/>
    <w:rsid w:val="005B6DF1"/>
    <w:rsid w:val="005B72BC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AFA"/>
    <w:rsid w:val="00614D08"/>
    <w:rsid w:val="006171B3"/>
    <w:rsid w:val="006224AE"/>
    <w:rsid w:val="00633FE1"/>
    <w:rsid w:val="00635297"/>
    <w:rsid w:val="006374FA"/>
    <w:rsid w:val="00646455"/>
    <w:rsid w:val="00660449"/>
    <w:rsid w:val="00661D51"/>
    <w:rsid w:val="00665E4E"/>
    <w:rsid w:val="00666AFD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1E80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1A0D"/>
    <w:rsid w:val="00712AF0"/>
    <w:rsid w:val="00714679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5A93"/>
    <w:rsid w:val="00767585"/>
    <w:rsid w:val="00770295"/>
    <w:rsid w:val="00773CA8"/>
    <w:rsid w:val="00776EF2"/>
    <w:rsid w:val="00783E4E"/>
    <w:rsid w:val="00784FF5"/>
    <w:rsid w:val="00786BDF"/>
    <w:rsid w:val="007874B4"/>
    <w:rsid w:val="007969D1"/>
    <w:rsid w:val="007A2CEC"/>
    <w:rsid w:val="007A3BEB"/>
    <w:rsid w:val="007A3D19"/>
    <w:rsid w:val="007A602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03B3"/>
    <w:rsid w:val="008068A5"/>
    <w:rsid w:val="008119C7"/>
    <w:rsid w:val="0081230A"/>
    <w:rsid w:val="00820AE5"/>
    <w:rsid w:val="0082456E"/>
    <w:rsid w:val="0082534B"/>
    <w:rsid w:val="00830DBF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2364"/>
    <w:rsid w:val="00881135"/>
    <w:rsid w:val="00881279"/>
    <w:rsid w:val="00886D7D"/>
    <w:rsid w:val="00891F29"/>
    <w:rsid w:val="008943A3"/>
    <w:rsid w:val="00895757"/>
    <w:rsid w:val="00895F09"/>
    <w:rsid w:val="008969C4"/>
    <w:rsid w:val="00897591"/>
    <w:rsid w:val="008A0BF7"/>
    <w:rsid w:val="008A180F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283B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3E48"/>
    <w:rsid w:val="009253B7"/>
    <w:rsid w:val="00926383"/>
    <w:rsid w:val="0092752F"/>
    <w:rsid w:val="00930893"/>
    <w:rsid w:val="009318C4"/>
    <w:rsid w:val="009358E8"/>
    <w:rsid w:val="00936951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04FD"/>
    <w:rsid w:val="00992EB9"/>
    <w:rsid w:val="009B0C02"/>
    <w:rsid w:val="009B754B"/>
    <w:rsid w:val="009B7D1A"/>
    <w:rsid w:val="009C5629"/>
    <w:rsid w:val="009C5E90"/>
    <w:rsid w:val="009C71A3"/>
    <w:rsid w:val="009C7F7D"/>
    <w:rsid w:val="009D1773"/>
    <w:rsid w:val="009D493A"/>
    <w:rsid w:val="009E371E"/>
    <w:rsid w:val="009E4C5C"/>
    <w:rsid w:val="009E6A87"/>
    <w:rsid w:val="009F3119"/>
    <w:rsid w:val="00A049EB"/>
    <w:rsid w:val="00A05B7E"/>
    <w:rsid w:val="00A158C7"/>
    <w:rsid w:val="00A16FA4"/>
    <w:rsid w:val="00A25B61"/>
    <w:rsid w:val="00A33D92"/>
    <w:rsid w:val="00A365F0"/>
    <w:rsid w:val="00A37E34"/>
    <w:rsid w:val="00A6172F"/>
    <w:rsid w:val="00A639FF"/>
    <w:rsid w:val="00A6463B"/>
    <w:rsid w:val="00A656E4"/>
    <w:rsid w:val="00A71A73"/>
    <w:rsid w:val="00A72ADF"/>
    <w:rsid w:val="00A75159"/>
    <w:rsid w:val="00A75452"/>
    <w:rsid w:val="00A77886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2997"/>
    <w:rsid w:val="00AC40DF"/>
    <w:rsid w:val="00AC411D"/>
    <w:rsid w:val="00AC4A58"/>
    <w:rsid w:val="00AC4CD8"/>
    <w:rsid w:val="00AC63D3"/>
    <w:rsid w:val="00AC6E5E"/>
    <w:rsid w:val="00AC79E5"/>
    <w:rsid w:val="00AD135E"/>
    <w:rsid w:val="00AD1F0E"/>
    <w:rsid w:val="00AD3866"/>
    <w:rsid w:val="00AD3DBF"/>
    <w:rsid w:val="00AE0435"/>
    <w:rsid w:val="00AE0DCB"/>
    <w:rsid w:val="00AE2063"/>
    <w:rsid w:val="00AE41D4"/>
    <w:rsid w:val="00AE55D3"/>
    <w:rsid w:val="00AE590F"/>
    <w:rsid w:val="00AE5C76"/>
    <w:rsid w:val="00AE730D"/>
    <w:rsid w:val="00AF547C"/>
    <w:rsid w:val="00AF6D2A"/>
    <w:rsid w:val="00AF7DDD"/>
    <w:rsid w:val="00B0024F"/>
    <w:rsid w:val="00B10816"/>
    <w:rsid w:val="00B11BE8"/>
    <w:rsid w:val="00B154E6"/>
    <w:rsid w:val="00B21802"/>
    <w:rsid w:val="00B25D10"/>
    <w:rsid w:val="00B26D2C"/>
    <w:rsid w:val="00B35242"/>
    <w:rsid w:val="00B35F84"/>
    <w:rsid w:val="00B37B03"/>
    <w:rsid w:val="00B42ED9"/>
    <w:rsid w:val="00B46A3B"/>
    <w:rsid w:val="00B52330"/>
    <w:rsid w:val="00B557BA"/>
    <w:rsid w:val="00B5628C"/>
    <w:rsid w:val="00B56762"/>
    <w:rsid w:val="00B629B6"/>
    <w:rsid w:val="00B647EA"/>
    <w:rsid w:val="00B64849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3B09"/>
    <w:rsid w:val="00BC45C7"/>
    <w:rsid w:val="00BC5A79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45F2"/>
    <w:rsid w:val="00C170E5"/>
    <w:rsid w:val="00C22A00"/>
    <w:rsid w:val="00C2356B"/>
    <w:rsid w:val="00C24F7F"/>
    <w:rsid w:val="00C3002A"/>
    <w:rsid w:val="00C373E0"/>
    <w:rsid w:val="00C375E8"/>
    <w:rsid w:val="00C53EAE"/>
    <w:rsid w:val="00C53F02"/>
    <w:rsid w:val="00C54CBD"/>
    <w:rsid w:val="00C55116"/>
    <w:rsid w:val="00C561BB"/>
    <w:rsid w:val="00C62193"/>
    <w:rsid w:val="00C642B0"/>
    <w:rsid w:val="00C64761"/>
    <w:rsid w:val="00C70668"/>
    <w:rsid w:val="00C71EF8"/>
    <w:rsid w:val="00C728E9"/>
    <w:rsid w:val="00C7430F"/>
    <w:rsid w:val="00C74FE6"/>
    <w:rsid w:val="00C7664D"/>
    <w:rsid w:val="00C77D0E"/>
    <w:rsid w:val="00C80111"/>
    <w:rsid w:val="00C8041D"/>
    <w:rsid w:val="00C80CA8"/>
    <w:rsid w:val="00C845F5"/>
    <w:rsid w:val="00C93030"/>
    <w:rsid w:val="00C93ADA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6A61"/>
    <w:rsid w:val="00D13AA4"/>
    <w:rsid w:val="00D1409A"/>
    <w:rsid w:val="00D15C3C"/>
    <w:rsid w:val="00D16229"/>
    <w:rsid w:val="00D16873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660E6"/>
    <w:rsid w:val="00D70B1D"/>
    <w:rsid w:val="00D70D96"/>
    <w:rsid w:val="00D720D2"/>
    <w:rsid w:val="00D757BC"/>
    <w:rsid w:val="00D762B8"/>
    <w:rsid w:val="00D775AC"/>
    <w:rsid w:val="00D77952"/>
    <w:rsid w:val="00D8298E"/>
    <w:rsid w:val="00D82DA8"/>
    <w:rsid w:val="00D8734B"/>
    <w:rsid w:val="00D91C8F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D4CCF"/>
    <w:rsid w:val="00DD4E7F"/>
    <w:rsid w:val="00DE23CE"/>
    <w:rsid w:val="00DE2FDE"/>
    <w:rsid w:val="00DF4415"/>
    <w:rsid w:val="00E020FC"/>
    <w:rsid w:val="00E03151"/>
    <w:rsid w:val="00E032DB"/>
    <w:rsid w:val="00E044C8"/>
    <w:rsid w:val="00E16D14"/>
    <w:rsid w:val="00E176AB"/>
    <w:rsid w:val="00E20034"/>
    <w:rsid w:val="00E21C3F"/>
    <w:rsid w:val="00E23E66"/>
    <w:rsid w:val="00E268D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715CB"/>
    <w:rsid w:val="00E72614"/>
    <w:rsid w:val="00E84FCD"/>
    <w:rsid w:val="00E8577F"/>
    <w:rsid w:val="00E9004B"/>
    <w:rsid w:val="00EB1228"/>
    <w:rsid w:val="00EB6141"/>
    <w:rsid w:val="00ED3D2B"/>
    <w:rsid w:val="00EE263E"/>
    <w:rsid w:val="00EE26AB"/>
    <w:rsid w:val="00EE3BBC"/>
    <w:rsid w:val="00EF190F"/>
    <w:rsid w:val="00EF417B"/>
    <w:rsid w:val="00EF6E62"/>
    <w:rsid w:val="00F1257A"/>
    <w:rsid w:val="00F27C51"/>
    <w:rsid w:val="00F33BD1"/>
    <w:rsid w:val="00F35C42"/>
    <w:rsid w:val="00F36729"/>
    <w:rsid w:val="00F3686A"/>
    <w:rsid w:val="00F36CC2"/>
    <w:rsid w:val="00F417BB"/>
    <w:rsid w:val="00F4318C"/>
    <w:rsid w:val="00F43F8E"/>
    <w:rsid w:val="00F50EDF"/>
    <w:rsid w:val="00F51C08"/>
    <w:rsid w:val="00F51C8D"/>
    <w:rsid w:val="00F56F9A"/>
    <w:rsid w:val="00F602B0"/>
    <w:rsid w:val="00F651F5"/>
    <w:rsid w:val="00F727CE"/>
    <w:rsid w:val="00F737FE"/>
    <w:rsid w:val="00F80444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  <w:rsid w:val="00FF2BDF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06946"/>
    <w:rsid w:val="000371CE"/>
    <w:rsid w:val="00047F80"/>
    <w:rsid w:val="000D7E54"/>
    <w:rsid w:val="0015519A"/>
    <w:rsid w:val="0019125C"/>
    <w:rsid w:val="001B028B"/>
    <w:rsid w:val="00216D88"/>
    <w:rsid w:val="00301678"/>
    <w:rsid w:val="00317F47"/>
    <w:rsid w:val="0036034F"/>
    <w:rsid w:val="004A09CC"/>
    <w:rsid w:val="006109B7"/>
    <w:rsid w:val="00653BC6"/>
    <w:rsid w:val="006B37DE"/>
    <w:rsid w:val="006C4111"/>
    <w:rsid w:val="00705F70"/>
    <w:rsid w:val="0072624C"/>
    <w:rsid w:val="00785C66"/>
    <w:rsid w:val="007C672A"/>
    <w:rsid w:val="00861737"/>
    <w:rsid w:val="008B259E"/>
    <w:rsid w:val="0098101A"/>
    <w:rsid w:val="00983464"/>
    <w:rsid w:val="009E11E6"/>
    <w:rsid w:val="00A3755D"/>
    <w:rsid w:val="00AB46AE"/>
    <w:rsid w:val="00B26EFC"/>
    <w:rsid w:val="00BD6E71"/>
    <w:rsid w:val="00C42526"/>
    <w:rsid w:val="00C755DC"/>
    <w:rsid w:val="00E077FC"/>
    <w:rsid w:val="00E26D67"/>
    <w:rsid w:val="00EC2C4A"/>
    <w:rsid w:val="00F55332"/>
    <w:rsid w:val="00F660BD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8DCAAF26-9B2C-4015-B87D-5FBCC0CC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339</TotalTime>
  <Pages>1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6427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78</cp:revision>
  <cp:lastPrinted>2014-12-17T17:01:00Z</cp:lastPrinted>
  <dcterms:created xsi:type="dcterms:W3CDTF">2015-09-17T16:12:00Z</dcterms:created>
  <dcterms:modified xsi:type="dcterms:W3CDTF">2016-04-12T19:07:00Z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