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associated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and Human Phenotype Ontology gene sets at chronotype loci against null loci matched for allele frequency, linkage disequilibrium, gene count and gene distance, with and without matching on loss-of-function (LoF) constraint.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Loci were instead enriched for LoF-constrained genes (2.1-fold), which accounted for most apparent organ-system enrichments. Genes for Mendelian disorders with sleep disturbance were over-represented (34 vs 16.5 loci; p = 3.5×10</w:t>
      </w:r>
      <w:r>
        <w:rPr>
          <w:vertAlign w:val="superscript"/>
        </w:rPr>
        <w:t xml:space="preserve">−5</w:t>
      </w:r>
      <w:r>
        <w:t xml:space="preserve">). This signal was attenuated by constraint matching (p = 0.013), carried by genes that also cause neurodevelopmental disorders, and not separable from an excess of autosomal dominant disease genes.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and with</w:t>
      </w:r>
      <w:r>
        <w:t xml:space="preserve"> </w:t>
      </w:r>
      <w:r>
        <w:rPr>
          <w:iCs/>
          <w:i/>
        </w:rPr>
        <w:t xml:space="preserve">FBXL3</w:t>
      </w:r>
      <w:r>
        <w:t xml:space="preserve"> </w:t>
      </w:r>
      <w:r>
        <w:t xml:space="preserve">these clock genes accounted for the excess rare-variant signal among Mendelian genes at the loci. Post hoc, 4 of 12 monoamine neurotransmitter disorder genes lay at chronotype loci. At the long QT syndrome gene</w:t>
      </w:r>
      <w:r>
        <w:t xml:space="preserve"> </w:t>
      </w:r>
      <w:r>
        <w:rPr>
          <w:iCs/>
          <w:i/>
        </w:rPr>
        <w:t xml:space="preserve">KCNH2</w:t>
      </w:r>
      <w:r>
        <w:t xml:space="preserve">, conditioning suggested that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are candidates for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GWAS signals also lie preferentially near LoF-constrained, dosage-sensitive genes</w:t>
      </w:r>
      <w:r>
        <w:rPr>
          <w:vertAlign w:val="superscript"/>
        </w:rPr>
        <w:t xml:space="preserve">42</w:t>
      </w:r>
      <w:r>
        <w:t xml:space="preserve">, and these genes are over-represented among Mendelian disease genes. Enrichment tests against fixed genome-wide backgrounds with nominal p-values are a recognised source of false positives</w:t>
      </w:r>
      <w:r>
        <w:rPr>
          <w:vertAlign w:val="superscript"/>
        </w:rPr>
        <w:t xml:space="preserve">43,44</w:t>
      </w:r>
      <w:r>
        <w:t xml:space="preserve">. To our knowledge, convergence between chronotype loci and Mendelian disease genes has not been examined with null models that control for gene density and gene constraint.</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45,46</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47,48</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and by phenotype, when compared with null loci matched for linkage disequilibrium (LD) and gene density, with and without matching on gene constraint?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49–51</w:t>
      </w:r>
      <w:r>
        <w:t xml:space="preserve">; complement and immune phenotypes, because immunity, including circulating complement, is under circadian control</w:t>
      </w:r>
      <w:r>
        <w:rPr>
          <w:vertAlign w:val="superscript"/>
        </w:rPr>
        <w:t xml:space="preserve">52,53</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54,55</w:t>
      </w:r>
      <w:r>
        <w:t xml:space="preserve">. We also screened all organ systems of the Human Phenotype Ontology (HPO).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56</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Reporting follows the relevant items of STREGA and FAIR principles for data and software</w:t>
      </w:r>
      <w:r>
        <w:rPr>
          <w:vertAlign w:val="superscript"/>
        </w:rPr>
        <w:t xml:space="preserve">57–59</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60</w:t>
      </w:r>
      <w:r>
        <w:t xml:space="preserve"> </w:t>
      </w:r>
      <w:r>
        <w:t xml:space="preserve">in the 1000 Genomes phase 3 European panel (n = 503)</w:t>
      </w:r>
      <w:r>
        <w:rPr>
          <w:vertAlign w:val="superscript"/>
        </w:rPr>
        <w:t xml:space="preserve">61</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62</w:t>
      </w:r>
      <w:r>
        <w:t xml:space="preserve">, harmonised to HGNC symbols and Ensembl identifiers</w:t>
      </w:r>
      <w:r>
        <w:rPr>
          <w:vertAlign w:val="superscript"/>
        </w:rPr>
        <w:t xml:space="preserve">63</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64,65</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66</w:t>
      </w:r>
      <w:r>
        <w:t xml:space="preserve">. From ClinGen gene–disease validity</w:t>
      </w:r>
      <w:r>
        <w:rPr>
          <w:vertAlign w:val="superscript"/>
        </w:rPr>
        <w:t xml:space="preserve">67</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68</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69</w:t>
      </w:r>
      <w:r>
        <w:t xml:space="preserve">. Constraint was represented by the most LoF-constrained decile of genes by gnomAD v2.1.1 LOEUF (&lt; 0.263)</w:t>
      </w:r>
      <w:r>
        <w:rPr>
          <w:vertAlign w:val="superscript"/>
        </w:rPr>
        <w:t xml:space="preserve">70</w:t>
      </w:r>
      <w:r>
        <w:t xml:space="preserve">, with gnomAD v4.1</w:t>
      </w:r>
      <w:r>
        <w:rPr>
          <w:vertAlign w:val="superscript"/>
        </w:rPr>
        <w:t xml:space="preserve">71</w:t>
      </w:r>
      <w:r>
        <w:t xml:space="preserve"> </w:t>
      </w:r>
      <w:r>
        <w:t xml:space="preserve">in a sensitivity analysis.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72–74</w:t>
      </w:r>
      <w:r>
        <w:t xml:space="preserve">. Gene-set definitions and members are given in Supplementary Table S2.</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75</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76</w:t>
      </w:r>
      <w:r>
        <w:t xml:space="preserve">. To test phenotype specificity, we took the loci containing a gene of a reference set (Mendelian genes, neurodevelopmental genes or autosomal dominant disease genes) and compared the fraction that also contained a gene of a given phenotype set with its null distribution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In the constraint-matched analyses, null loci were additionally matched on the LoF-constraint class of the most constrained gene in the interval. For gnomAD v2.1.1 the classes were no gene, LOEUF &lt; 0.35, 0.35–0.6, 0.6–1.0 and ≥ 1.0. For gnomAD v4.1 the class boundaries were placed at the same quantiles of the gene universe (0.507, 0.756 and 1.048).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77</w:t>
      </w:r>
      <w:r>
        <w:t xml:space="preserve"> </w:t>
      </w:r>
      <w:r>
        <w:t xml:space="preserve">on the UK Biobank chronotype summary statistics (continuous chronotype score, n = 449,734; GWAS Catalog GCST007576)</w:t>
      </w:r>
      <w:r>
        <w:rPr>
          <w:vertAlign w:val="superscript"/>
        </w:rPr>
        <w:t xml:space="preserve">15,78</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constraint (continuous LOEUF plus the most constrained decile), on neurodevelopmental genes, or on Mendelian genes.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79</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80</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81</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pLOF (M1) or pLOF plus deleterious missense (M3), each at five frequency ceilings (singletons and MAF ≤ 0.001%, 0.01%, 0.1% and 1%). For each gene and trait we combined the ten masks with the aggregated Cauchy association test (ACAT)</w:t>
      </w:r>
      <w:r>
        <w:rPr>
          <w:vertAlign w:val="superscript"/>
        </w:rPr>
        <w:t xml:space="preserve">82</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83</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84</w:t>
      </w:r>
      <w:r>
        <w:t xml:space="preserve">. Human day–night differential expression across 46 GTEx tissues was taken from Wucher et al.</w:t>
      </w:r>
      <w:r>
        <w:rPr>
          <w:vertAlign w:val="superscript"/>
        </w:rPr>
        <w:t xml:space="preserve">85</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86</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87</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88</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89</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(52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2"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c5b5625e24ad2139c3ab60aa6546c1a3c085127"/>
    <w:p>
      <w:pPr>
        <w:pStyle w:val="Heading2"/>
      </w:pPr>
      <w:r>
        <w:t xml:space="preserve">Mendelian disease genes are not enriched overall, and constraint accounts for most apparent enrichments</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 MAGMA gave the same answer (p = 0.75).</w:t>
      </w:r>
    </w:p>
    <w:p>
      <w:pPr>
        <w:pStyle w:val="BodyText"/>
      </w:pPr>
      <w:r>
        <w:t xml:space="preserve">Chronotype loci were, however, strongly enriched for LoF-constrained genes (107 vs 51.7 loci; p = 7.0×10</w:t>
      </w:r>
      <w:r>
        <w:rPr>
          <w:vertAlign w:val="superscript"/>
        </w:rPr>
        <w:t xml:space="preserve">−16</w:t>
      </w:r>
      <w:r>
        <w:t xml:space="preserve">; MAGMA p = 1.2×10</w:t>
      </w:r>
      <w:r>
        <w:rPr>
          <w:vertAlign w:val="superscript"/>
        </w:rPr>
        <w:t xml:space="preserve">−11</w:t>
      </w:r>
      <w:r>
        <w:t xml:space="preserve">). Matching null loci on the constraint class of the most constrained gene reduced this excess but did not remove it (gnomAD v2.1.1: 1.15-fold, p = 0.0095; gnomAD v4.1: 1.35-fold, p = 3.8×10</w:t>
      </w:r>
      <w:r>
        <w:rPr>
          <w:vertAlign w:val="superscript"/>
        </w:rPr>
        <w:t xml:space="preserve">−6</w:t>
      </w:r>
      <w:r>
        <w:t xml:space="preserve">). The v4.1-matched null therefore controls constraint less completely. Constraint matching removed most other apparent enrichments, though not all. Global developmental delay fell from 1.45-fold (p = 1.7×10</w:t>
      </w:r>
      <w:r>
        <w:rPr>
          <w:vertAlign w:val="superscript"/>
        </w:rPr>
        <w:t xml:space="preserve">−4</w:t>
      </w:r>
      <w:r>
        <w:t xml:space="preserve">) to 1.14-fold (p = 0.086; gnomAD v4.1 p = 0.036). Five HPO organ systems reached FDR &lt; 0.05 against the primary null, but none did after constraint matching with either gnomAD release (Fig. 2B). Autosomal dominant disease genes fell from 1.55-fold (p = 1.1×10</w:t>
      </w:r>
      <w:r>
        <w:rPr>
          <w:vertAlign w:val="superscript"/>
        </w:rPr>
        <w:t xml:space="preserve">−5</w:t>
      </w:r>
      <w:r>
        <w:t xml:space="preserve">) to 1.22-fold after constraint matching, but this residual excess was nominally significant (p = 0.018; gnomAD v4.1 p = 0.011), also relative to other Mendelian genes (p = 6.0×10</w:t>
      </w:r>
      <w:r>
        <w:rPr>
          <w:vertAlign w:val="superscript"/>
        </w:rPr>
        <w:t xml:space="preserve">−4</w:t>
      </w:r>
      <w:r>
        <w:t xml:space="preserve">). Autosomal recessive disease genes were not enriched under either null.</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enrichment persisted after constraint matching (4.2-fold; p = 7.7×10</w:t>
      </w:r>
      <w:r>
        <w:rPr>
          <w:vertAlign w:val="superscript"/>
        </w:rPr>
        <w:t xml:space="preserve">−9</w:t>
      </w:r>
      <w:r>
        <w:t xml:space="preserve">; gnomAD v4.1 p = 1.5×10</w:t>
      </w:r>
      <w:r>
        <w:rPr>
          <w:vertAlign w:val="superscript"/>
        </w:rPr>
        <w:t xml:space="preserve">−8</w:t>
      </w:r>
      <w:r>
        <w:t xml:space="preserve">) and in MAGMA conditioned on constraint (p = 0.0045). The framework therefore detects known chronotype biology while reducing the dominant confounder.</w:t>
      </w:r>
    </w:p>
    <w:bookmarkEnd w:id="35"/>
    <w:bookmarkStart w:id="36" w:name="Xcac309e2ad46ed8fafe8213e02fbe08aec9bf25"/>
    <w:p>
      <w:pPr>
        <w:pStyle w:val="Heading2"/>
      </w:pPr>
      <w:r>
        <w:t xml:space="preserve">Mendelian sleep-disturbance genes are over-represented, but not specifically</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 Constraint explained part of the signal. After constraint matching, the enrichment was 1.45-fold with gnomAD v2.1.1 (p = 0.013; q = 0.15). With the less complete gnomAD v4.1 match it was 1.56-fold (p = 0.0039; q = 0.047).</w:t>
      </w:r>
    </w:p>
    <w:p>
      <w:pPr>
        <w:pStyle w:val="BodyText"/>
      </w:pPr>
      <w:r>
        <w:t xml:space="preserve">Among loci containing a Mendelian gene, 27.6% contained a sleep-disturbance gene, compared with 17.9% expected under the constraint-matched null (p = 0.0020). This relative excess was not specific to sleep. Autosomal dominant disease genes showed a similar or stronger relative excess (p = 6.0×10</w:t>
      </w:r>
      <w:r>
        <w:rPr>
          <w:vertAlign w:val="superscript"/>
        </w:rPr>
        <w:t xml:space="preserve">−4</w:t>
      </w:r>
      <w:r>
        <w:t xml:space="preserve">), and 26 of the 39 sleep-disturbance genes at chronotype loci cause dominant disorders. Among loci containing an autosomal dominant disease gene, the fraction that contained a sleep-disturbance gene was 42.5%, against 36.0% expected (p = 0.16). The signal was also carried mainly by genes that cause neurodevelopmental disorders.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 or on constraint (p = 0.15).</w:t>
      </w:r>
    </w:p>
    <w:p>
      <w:pPr>
        <w:pStyle w:val="BodyText"/>
      </w:pPr>
      <w:r>
        <w:t xml:space="preserve">The genes behind the signal fall into three groups (Fig. 3, Table 2).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90</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6"/>
    <w:bookmarkStart w:id="37"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72,91,92</w:t>
      </w:r>
      <w:r>
        <w:t xml:space="preserve">. No gene of the melatonin branch lay in a chronotype locus.</w:t>
      </w:r>
    </w:p>
    <w:bookmarkEnd w:id="37"/>
    <w:bookmarkStart w:id="38"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93</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94,95</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8"/>
    <w:bookmarkStart w:id="39"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Hypertrophic cardiomyopathy genes lay in 13 loci against 7.1 expected (p = 0.024; q = 0.06). This weakened after constraint matching (p = 0.094; gnomAD v4.1 p = 0.054); the relative test was nominal (p = 0.045),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39"/>
    <w:bookmarkStart w:id="40"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but not after constraint matching (p = 0.13). Human day–night differentially expressed genes were not enriched at the locus level (p = 0.38), but had nominal support in MAGMA (p = 0.011; conditioned on constraint p = 0.041).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50</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0"/>
    <w:bookmarkStart w:id="41"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2 summarise the genes with sleep, circadian, monoamine or cardiac phenotypes.</w:t>
      </w:r>
    </w:p>
    <w:bookmarkEnd w:id="41"/>
    <w:bookmarkEnd w:id="42"/>
    <w:bookmarkStart w:id="43"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Much of what looks like enrichment, including that of genes for neurodevelopmental disorders, reflects the tendency of GWAS signals to lie near constrained, dosage-sensitive genes</w:t>
      </w:r>
      <w:r>
        <w:rPr>
          <w:vertAlign w:val="superscript"/>
        </w:rPr>
        <w:t xml:space="preserve">42</w:t>
      </w:r>
      <w:r>
        <w:t xml:space="preserve">. A modest excess of genes for autosomal dominant disorders remained after constraint matching.</w:t>
      </w:r>
    </w:p>
    <w:p>
      <w:pPr>
        <w:pStyle w:val="BodyText"/>
      </w:pPr>
      <w:r>
        <w:t xml:space="preserve">Convergence between chronotype genetics and Mendelian disease is limited and, where present, phenotype-specific, as it is for other complex traits</w:t>
      </w:r>
      <w:r>
        <w:rPr>
          <w:vertAlign w:val="superscript"/>
        </w:rPr>
        <w:t xml:space="preserve">38</w:t>
      </w:r>
      <w:r>
        <w:t xml:space="preserve">.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but this could not be separated from the excess of genes for neurodevelopmental and autosomal dominant disorders.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43,44</w:t>
      </w:r>
      <w:r>
        <w:t xml:space="preserve">. Second, gene constraint should be treated as a covariate in convergence analyses, and modelled finely. Matching on the constraint class of the most constrained gene reduced but did not remove the excess of constrained genes at chronotype loci, especially with gnomAD v4.1. Results that depend on such a null, including the sleep-disturbance enrichment, should be read with this in mind. Conversely, matching on constraint is conservative when constraint lies on the causal path from gene to phenotype. We therefore report both nulls and two gnomAD releases. Only the GO circadian control survived all of them.</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do they show that the sleep phenotype, rather than the neurodevelopmental phenotype or dominant inheritance, drives the overlap.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It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96,97</w:t>
      </w:r>
      <w:r>
        <w:t xml:space="preserve">. Sleep disturbance is common in AADC deficiency</w:t>
      </w:r>
      <w:r>
        <w:rPr>
          <w:vertAlign w:val="superscript"/>
        </w:rPr>
        <w:t xml:space="preserve">98</w:t>
      </w:r>
      <w:r>
        <w:t xml:space="preserve">. These disorders are also treatable. DNAJC12 deficiency and the BH4 deficiencies respond to monoamine precursors or cofactors</w:t>
      </w:r>
      <w:r>
        <w:rPr>
          <w:vertAlign w:val="superscript"/>
        </w:rPr>
        <w:t xml:space="preserve">74,91</w:t>
      </w:r>
      <w:r>
        <w:t xml:space="preserve">, whereas VMAT2 deficiency responds to dopamine agonists and is worsened by levodopa</w:t>
      </w:r>
      <w:r>
        <w:rPr>
          <w:vertAlign w:val="superscript"/>
        </w:rPr>
        <w:t xml:space="preserve">92</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94,95</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49–51</w:t>
      </w:r>
      <w:r>
        <w:t xml:space="preserve">, and cardiac events in long QT syndrome cluster by time of day in a genotype-dependent way</w:t>
      </w:r>
      <w:r>
        <w:rPr>
          <w:vertAlign w:val="superscript"/>
        </w:rPr>
        <w:t xml:space="preserve">99,100</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52</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and on the class of the most constrained gene approximates, but does not eliminate, differences between chronotype and null loci.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3"/>
    <w:bookmarkStart w:id="44"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gnomAD v2.1.1 and v4.1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4"/>
    <w:bookmarkStart w:id="45"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The constraint-matched nulls additionally match the LoF-constraint class of the most constrained gene in the interval (gnomAD v2.1.1 or v4.1). MAGMA: competitive gene-set p-values from UK Biobank chronotype statistics, marginal and conditioned on constraint. The post hoc sets (monoamine disorders, decreased CSF homovanillic acid and IUIS complement deficiency) were defined after inspection of other results, and their p-values do not account for the selection. Full results, sensitivity analyses and FDR q-values are in Supplementary Table S3.</w:t>
      </w:r>
    </w:p>
    <w:tbl>
      <w:tblPr>
        <w:tblStyle w:val="Table"/>
        <w:tblW w:type="pct" w:w="5000"/>
        <w:tblLook w:firstRow="1" w:lastRow="0" w:firstColumn="0" w:lastColumn="0" w:noHBand="0" w:noVBand="0" w:val="0020"/>
        <w:jc w:val="start"/>
      </w:tblPr>
      <w:tblGrid>
        <w:gridCol w:w="2102"/>
        <w:gridCol w:w="630"/>
        <w:gridCol w:w="1612"/>
        <w:gridCol w:w="1612"/>
        <w:gridCol w:w="770"/>
        <w:gridCol w:w="1191"/>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Primary null: loci obs/exp (fold); p</w:t>
            </w:r>
          </w:p>
        </w:tc>
        <w:tc>
          <w:tcPr/>
          <w:p>
            <w:pPr>
              <w:pStyle w:val="Compact"/>
              <w:jc w:val="left"/>
            </w:pPr>
            <w:r>
              <w:t xml:space="preserve">Constraint-matched null (gnomAD v2.1.1): loci obs/exp (fold); p</w:t>
            </w:r>
          </w:p>
        </w:tc>
        <w:tc>
          <w:tcPr/>
          <w:p>
            <w:pPr>
              <w:pStyle w:val="Compact"/>
              <w:jc w:val="left"/>
            </w:pPr>
            <w:r>
              <w:t xml:space="preserve">gnomAD v4.1 null: p</w:t>
            </w:r>
          </w:p>
        </w:tc>
        <w:tc>
          <w:tcPr/>
          <w:p>
            <w:pPr>
              <w:pStyle w:val="Compact"/>
              <w:jc w:val="left"/>
            </w:pPr>
            <w:r>
              <w:t xml:space="preserve">MAGMA p: marginal; constraint-conditioned</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 0.16</w:t>
            </w:r>
          </w:p>
        </w:tc>
        <w:tc>
          <w:tcPr/>
          <w:p>
            <w:pPr>
              <w:pStyle w:val="Compact"/>
              <w:jc w:val="left"/>
            </w:pPr>
            <w:r>
              <w:t xml:space="preserve">123/130.8 (0.94); 0.87</w:t>
            </w:r>
          </w:p>
        </w:tc>
        <w:tc>
          <w:tcPr/>
          <w:p>
            <w:pPr>
              <w:pStyle w:val="Compact"/>
              <w:jc w:val="left"/>
            </w:pPr>
            <w:r>
              <w:t xml:space="preserve">0.69</w:t>
            </w:r>
          </w:p>
        </w:tc>
        <w:tc>
          <w:tcPr/>
          <w:p>
            <w:pPr>
              <w:pStyle w:val="Compact"/>
              <w:jc w:val="left"/>
            </w:pPr>
            <w:r>
              <w:t xml:space="preserve">0.75; 0.97</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 0.041</w:t>
            </w:r>
          </w:p>
        </w:tc>
        <w:tc>
          <w:tcPr/>
          <w:p>
            <w:pPr>
              <w:pStyle w:val="Compact"/>
              <w:jc w:val="left"/>
            </w:pPr>
            <w:r>
              <w:t xml:space="preserve">77/76.7 (1.00); 0.51</w:t>
            </w:r>
          </w:p>
        </w:tc>
        <w:tc>
          <w:tcPr/>
          <w:p>
            <w:pPr>
              <w:pStyle w:val="Compact"/>
              <w:jc w:val="left"/>
            </w:pPr>
            <w:r>
              <w:t xml:space="preserve">0.29</w:t>
            </w:r>
          </w:p>
        </w:tc>
        <w:tc>
          <w:tcPr/>
          <w:p>
            <w:pPr>
              <w:pStyle w:val="Compact"/>
              <w:jc w:val="left"/>
            </w:pPr>
            <w:r>
              <w:t xml:space="preserve">0.39; 0.72</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 1.1×10</w:t>
            </w:r>
            <w:r>
              <w:rPr>
                <w:vertAlign w:val="superscript"/>
              </w:rPr>
              <w:t xml:space="preserve">−5</w:t>
            </w:r>
          </w:p>
        </w:tc>
        <w:tc>
          <w:tcPr/>
          <w:p>
            <w:pPr>
              <w:pStyle w:val="Compact"/>
              <w:jc w:val="left"/>
            </w:pPr>
            <w:r>
              <w:t xml:space="preserve">80/65.5 (1.22); 0.018</w:t>
            </w:r>
          </w:p>
        </w:tc>
        <w:tc>
          <w:tcPr/>
          <w:p>
            <w:pPr>
              <w:pStyle w:val="Compact"/>
              <w:jc w:val="left"/>
            </w:pPr>
            <w:r>
              <w:t xml:space="preserve">0.011</w:t>
            </w:r>
          </w:p>
        </w:tc>
        <w:tc>
          <w:tcPr/>
          <w:p>
            <w:pPr>
              <w:pStyle w:val="Compact"/>
              <w:jc w:val="left"/>
            </w:pPr>
            <w:r>
              <w:t xml:space="preserve">0.28; 0.90</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 0.84</w:t>
            </w:r>
          </w:p>
        </w:tc>
        <w:tc>
          <w:tcPr/>
          <w:p>
            <w:pPr>
              <w:pStyle w:val="Compact"/>
              <w:jc w:val="left"/>
            </w:pPr>
            <w:r>
              <w:t xml:space="preserve">74/85.6 (0.86); 0.96</w:t>
            </w:r>
          </w:p>
        </w:tc>
        <w:tc>
          <w:tcPr/>
          <w:p>
            <w:pPr>
              <w:pStyle w:val="Compact"/>
              <w:jc w:val="left"/>
            </w:pPr>
            <w:r>
              <w:t xml:space="preserve">0.97</w:t>
            </w:r>
          </w:p>
        </w:tc>
        <w:tc>
          <w:tcPr/>
          <w:p>
            <w:pPr>
              <w:pStyle w:val="Compact"/>
              <w:jc w:val="left"/>
            </w:pPr>
            <w:r>
              <w:t xml:space="preserve">0.99; 0.98</w:t>
            </w:r>
          </w:p>
        </w:tc>
      </w:tr>
      <w:tr>
        <w:tc>
          <w:tcPr/>
          <w:p>
            <w:pPr>
              <w:pStyle w:val="Compact"/>
              <w:jc w:val="left"/>
            </w:pPr>
            <w:r>
              <w:rPr>
                <w:iCs/>
                <w:i/>
                <w:bCs/>
                <w:b/>
              </w:rPr>
              <w:t xml:space="preserve">Controls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LoF-constrained decile (gnomAD v2.1.1)</w:t>
            </w:r>
          </w:p>
        </w:tc>
        <w:tc>
          <w:tcPr/>
          <w:p>
            <w:pPr>
              <w:pStyle w:val="Compact"/>
              <w:jc w:val="right"/>
            </w:pPr>
            <w:r>
              <w:t xml:space="preserve">1,831</w:t>
            </w:r>
          </w:p>
        </w:tc>
        <w:tc>
          <w:tcPr/>
          <w:p>
            <w:pPr>
              <w:pStyle w:val="Compact"/>
              <w:jc w:val="left"/>
            </w:pPr>
            <w:r>
              <w:t xml:space="preserve">107/51.7 (2.07); 7.0×10</w:t>
            </w:r>
            <w:r>
              <w:rPr>
                <w:vertAlign w:val="superscript"/>
              </w:rPr>
              <w:t xml:space="preserve">−16</w:t>
            </w:r>
          </w:p>
        </w:tc>
        <w:tc>
          <w:tcPr/>
          <w:p>
            <w:pPr>
              <w:pStyle w:val="Compact"/>
              <w:jc w:val="left"/>
            </w:pPr>
            <w:r>
              <w:t xml:space="preserve">107/93.4 (1.15); 0.0095</w:t>
            </w:r>
          </w:p>
        </w:tc>
        <w:tc>
          <w:tcPr/>
          <w:p>
            <w:pPr>
              <w:pStyle w:val="Compact"/>
              <w:jc w:val="left"/>
            </w:pPr>
            <w:r>
              <w:t xml:space="preserve">3.8×10</w:t>
            </w:r>
            <w:r>
              <w:rPr>
                <w:vertAlign w:val="superscript"/>
              </w:rPr>
              <w:t xml:space="preserve">−6</w:t>
            </w:r>
          </w:p>
        </w:tc>
        <w:tc>
          <w:tcPr/>
          <w:p>
            <w:pPr>
              <w:pStyle w:val="Compact"/>
              <w:jc w:val="left"/>
            </w:pPr>
            <w:r>
              <w:t xml:space="preserve">1.2×10</w:t>
            </w:r>
            <w:r>
              <w:rPr>
                <w:vertAlign w:val="superscript"/>
              </w:rPr>
              <w:t xml:space="preserve">−11</w:t>
            </w:r>
            <w:r>
              <w:t xml:space="preserve">; –</w:t>
            </w:r>
          </w:p>
        </w:tc>
      </w:tr>
      <w:tr>
        <w:tc>
          <w:tcPr/>
          <w:p>
            <w:pPr>
              <w:pStyle w:val="Compact"/>
              <w:jc w:val="left"/>
            </w:pPr>
            <w:r>
              <w:t xml:space="preserve">GO: circadian rhythm (positive control)</w:t>
            </w:r>
          </w:p>
        </w:tc>
        <w:tc>
          <w:tcPr/>
          <w:p>
            <w:pPr>
              <w:pStyle w:val="Compact"/>
              <w:jc w:val="right"/>
            </w:pPr>
            <w:r>
              <w:t xml:space="preserve">202</w:t>
            </w:r>
          </w:p>
        </w:tc>
        <w:tc>
          <w:tcPr/>
          <w:p>
            <w:pPr>
              <w:pStyle w:val="Compact"/>
              <w:jc w:val="left"/>
            </w:pPr>
            <w:r>
              <w:t xml:space="preserve">22/4.5 (4.92); 8.4×10</w:t>
            </w:r>
            <w:r>
              <w:rPr>
                <w:vertAlign w:val="superscript"/>
              </w:rPr>
              <w:t xml:space="preserve">−10</w:t>
            </w:r>
          </w:p>
        </w:tc>
        <w:tc>
          <w:tcPr/>
          <w:p>
            <w:pPr>
              <w:pStyle w:val="Compact"/>
              <w:jc w:val="left"/>
            </w:pPr>
            <w:r>
              <w:t xml:space="preserve">22/5.2 (4.20); 7.7×10</w:t>
            </w:r>
            <w:r>
              <w:rPr>
                <w:vertAlign w:val="superscript"/>
              </w:rPr>
              <w:t xml:space="preserve">−9</w:t>
            </w:r>
          </w:p>
        </w:tc>
        <w:tc>
          <w:tcPr/>
          <w:p>
            <w:pPr>
              <w:pStyle w:val="Compact"/>
              <w:jc w:val="left"/>
            </w:pPr>
            <w:r>
              <w:t xml:space="preserve">1.5×10</w:t>
            </w:r>
            <w:r>
              <w:rPr>
                <w:vertAlign w:val="superscript"/>
              </w:rPr>
              <w:t xml:space="preserve">−8</w:t>
            </w:r>
          </w:p>
        </w:tc>
        <w:tc>
          <w:tcPr/>
          <w:p>
            <w:pPr>
              <w:pStyle w:val="Compact"/>
              <w:jc w:val="left"/>
            </w:pPr>
            <w:r>
              <w:t xml:space="preserve">0.0019; 0.0045</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 3.5×10</w:t>
            </w:r>
            <w:r>
              <w:rPr>
                <w:vertAlign w:val="superscript"/>
              </w:rPr>
              <w:t xml:space="preserve">−5</w:t>
            </w:r>
          </w:p>
        </w:tc>
        <w:tc>
          <w:tcPr/>
          <w:p>
            <w:pPr>
              <w:pStyle w:val="Compact"/>
              <w:jc w:val="left"/>
            </w:pPr>
            <w:r>
              <w:t xml:space="preserve">34/23.5 (1.45); 0.013</w:t>
            </w:r>
          </w:p>
        </w:tc>
        <w:tc>
          <w:tcPr/>
          <w:p>
            <w:pPr>
              <w:pStyle w:val="Compact"/>
              <w:jc w:val="left"/>
            </w:pPr>
            <w:r>
              <w:t xml:space="preserve">0.0039</w:t>
            </w:r>
          </w:p>
        </w:tc>
        <w:tc>
          <w:tcPr/>
          <w:p>
            <w:pPr>
              <w:pStyle w:val="Compact"/>
              <w:jc w:val="left"/>
            </w:pPr>
            <w:r>
              <w:t xml:space="preserve">0.031; 0.15</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 0.38</w:t>
            </w:r>
          </w:p>
        </w:tc>
        <w:tc>
          <w:tcPr/>
          <w:p>
            <w:pPr>
              <w:pStyle w:val="Compact"/>
              <w:jc w:val="left"/>
            </w:pPr>
            <w:r>
              <w:t xml:space="preserve">4/4.4 (0.90); 0.66</w:t>
            </w:r>
          </w:p>
        </w:tc>
        <w:tc>
          <w:tcPr/>
          <w:p>
            <w:pPr>
              <w:pStyle w:val="Compact"/>
              <w:jc w:val="left"/>
            </w:pPr>
            <w:r>
              <w:t xml:space="preserve">0.61</w:t>
            </w:r>
          </w:p>
        </w:tc>
        <w:tc>
          <w:tcPr/>
          <w:p>
            <w:pPr>
              <w:pStyle w:val="Compact"/>
              <w:jc w:val="left"/>
            </w:pPr>
            <w:r>
              <w:t xml:space="preserve">0.19; 0.28</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 0.098</w:t>
            </w:r>
          </w:p>
        </w:tc>
        <w:tc>
          <w:tcPr/>
          <w:p>
            <w:pPr>
              <w:pStyle w:val="Compact"/>
              <w:jc w:val="left"/>
            </w:pPr>
            <w:r>
              <w:t xml:space="preserve">3/1.5 (2.03); 0.18</w:t>
            </w:r>
          </w:p>
        </w:tc>
        <w:tc>
          <w:tcPr/>
          <w:p>
            <w:pPr>
              <w:pStyle w:val="Compact"/>
              <w:jc w:val="left"/>
            </w:pPr>
            <w:r>
              <w:t xml:space="preserve">0.12</w:t>
            </w:r>
          </w:p>
        </w:tc>
        <w:tc>
          <w:tcPr/>
          <w:p>
            <w:pPr>
              <w:pStyle w:val="Compact"/>
              <w:jc w:val="left"/>
            </w:pPr>
            <w:r>
              <w:t xml:space="preserve">0.23; 0.33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 0.13</w:t>
            </w:r>
          </w:p>
        </w:tc>
        <w:tc>
          <w:tcPr/>
          <w:p>
            <w:pPr>
              <w:pStyle w:val="Compact"/>
              <w:jc w:val="left"/>
            </w:pPr>
            <w:r>
              <w:t xml:space="preserve">3/1.6 (1.88); 0.21</w:t>
            </w:r>
          </w:p>
        </w:tc>
        <w:tc>
          <w:tcPr/>
          <w:p>
            <w:pPr>
              <w:pStyle w:val="Compact"/>
              <w:jc w:val="left"/>
            </w:pPr>
            <w:r>
              <w:t xml:space="preserve">0.17</w:t>
            </w:r>
          </w:p>
        </w:tc>
        <w:tc>
          <w:tcPr/>
          <w:p>
            <w:pPr>
              <w:pStyle w:val="Compact"/>
              <w:jc w:val="left"/>
            </w:pPr>
            <w:r>
              <w:t xml:space="preserve">0.86; 0.80</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 0.024</w:t>
            </w:r>
          </w:p>
        </w:tc>
        <w:tc>
          <w:tcPr/>
          <w:p>
            <w:pPr>
              <w:pStyle w:val="Compact"/>
              <w:jc w:val="left"/>
            </w:pPr>
            <w:r>
              <w:t xml:space="preserve">13/8.8 (1.48); 0.094</w:t>
            </w:r>
          </w:p>
        </w:tc>
        <w:tc>
          <w:tcPr/>
          <w:p>
            <w:pPr>
              <w:pStyle w:val="Compact"/>
              <w:jc w:val="left"/>
            </w:pPr>
            <w:r>
              <w:t xml:space="preserve">0.054</w:t>
            </w:r>
          </w:p>
        </w:tc>
        <w:tc>
          <w:tcPr/>
          <w:p>
            <w:pPr>
              <w:pStyle w:val="Compact"/>
              <w:jc w:val="left"/>
            </w:pPr>
            <w:r>
              <w:t xml:space="preserve">0.88; 0.82</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 1.00</w:t>
            </w:r>
          </w:p>
        </w:tc>
        <w:tc>
          <w:tcPr/>
          <w:p>
            <w:pPr>
              <w:pStyle w:val="Compact"/>
              <w:jc w:val="left"/>
            </w:pPr>
            <w:r>
              <w:t xml:space="preserve">0/0.99 (0.00); 1.00</w:t>
            </w:r>
          </w:p>
        </w:tc>
        <w:tc>
          <w:tcPr/>
          <w:p>
            <w:pPr>
              <w:pStyle w:val="Compact"/>
              <w:jc w:val="left"/>
            </w:pPr>
            <w:r>
              <w:t xml:space="preserve">1.00</w:t>
            </w:r>
          </w:p>
        </w:tc>
        <w:tc>
          <w:tcPr/>
          <w:p>
            <w:pPr>
              <w:pStyle w:val="Compact"/>
              <w:jc w:val="left"/>
            </w:pPr>
            <w:r>
              <w:t xml:space="preserve">0.60; 0.51</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 1.7×10</w:t>
            </w:r>
            <w:r>
              <w:rPr>
                <w:vertAlign w:val="superscript"/>
              </w:rPr>
              <w:t xml:space="preserve">−4</w:t>
            </w:r>
          </w:p>
        </w:tc>
        <w:tc>
          <w:tcPr/>
          <w:p>
            <w:pPr>
              <w:pStyle w:val="Compact"/>
              <w:jc w:val="left"/>
            </w:pPr>
            <w:r>
              <w:t xml:space="preserve">76/66.7 (1.14); 0.086</w:t>
            </w:r>
          </w:p>
        </w:tc>
        <w:tc>
          <w:tcPr/>
          <w:p>
            <w:pPr>
              <w:pStyle w:val="Compact"/>
              <w:jc w:val="left"/>
            </w:pPr>
            <w:r>
              <w:t xml:space="preserve">0.036</w:t>
            </w:r>
          </w:p>
        </w:tc>
        <w:tc>
          <w:tcPr/>
          <w:p>
            <w:pPr>
              <w:pStyle w:val="Compact"/>
              <w:jc w:val="left"/>
            </w:pPr>
            <w:r>
              <w:t xml:space="preserve">0.17; 0.58</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 6.7×10</w:t>
            </w:r>
            <w:r>
              <w:rPr>
                <w:vertAlign w:val="superscript"/>
              </w:rPr>
              <w:t xml:space="preserve">−7</w:t>
            </w:r>
          </w:p>
        </w:tc>
        <w:tc>
          <w:tcPr/>
          <w:p>
            <w:pPr>
              <w:pStyle w:val="Compact"/>
              <w:jc w:val="left"/>
            </w:pPr>
            <w:r>
              <w:t xml:space="preserve">4/0.03 (115); 4.0×10</w:t>
            </w:r>
            <w:r>
              <w:rPr>
                <w:vertAlign w:val="superscript"/>
              </w:rPr>
              <w:t xml:space="preserve">−8</w:t>
            </w:r>
          </w:p>
        </w:tc>
        <w:tc>
          <w:tcPr/>
          <w:p>
            <w:pPr>
              <w:pStyle w:val="Compact"/>
              <w:jc w:val="left"/>
            </w:pPr>
            <w:r>
              <w:t xml:space="preserve">4.1×10</w:t>
            </w:r>
            <w:r>
              <w:rPr>
                <w:vertAlign w:val="superscript"/>
              </w:rPr>
              <w:t xml:space="preserve">−8</w:t>
            </w:r>
          </w:p>
        </w:tc>
        <w:tc>
          <w:tcPr/>
          <w:p>
            <w:pPr>
              <w:pStyle w:val="Compact"/>
              <w:jc w:val="left"/>
            </w:pPr>
            <w:r>
              <w:t xml:space="preserve">0.032; 0.030</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 1.5×10</w:t>
            </w:r>
            <w:r>
              <w:rPr>
                <w:vertAlign w:val="superscript"/>
              </w:rPr>
              <w:t xml:space="preserve">−4</w:t>
            </w:r>
          </w:p>
        </w:tc>
        <w:tc>
          <w:tcPr/>
          <w:p>
            <w:pPr>
              <w:pStyle w:val="Compact"/>
              <w:jc w:val="left"/>
            </w:pPr>
            <w:r>
              <w:t xml:space="preserve">3/0.15 (19); 4.1×10</w:t>
            </w:r>
            <w:r>
              <w:rPr>
                <w:vertAlign w:val="superscript"/>
              </w:rPr>
              <w:t xml:space="preserve">−4</w:t>
            </w:r>
          </w:p>
        </w:tc>
        <w:tc>
          <w:tcPr/>
          <w:p>
            <w:pPr>
              <w:pStyle w:val="Compact"/>
              <w:jc w:val="left"/>
            </w:pPr>
            <w:r>
              <w:t xml:space="preserve">5.1×10</w:t>
            </w:r>
            <w:r>
              <w:rPr>
                <w:vertAlign w:val="superscript"/>
              </w:rPr>
              <w:t xml:space="preserve">−4</w:t>
            </w:r>
          </w:p>
        </w:tc>
        <w:tc>
          <w:tcPr/>
          <w:p>
            <w:pPr>
              <w:pStyle w:val="Compact"/>
              <w:jc w:val="left"/>
            </w:pPr>
            <w:r>
              <w:t xml:space="preserve">0.092; 0.11</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 0.21</w:t>
            </w:r>
          </w:p>
        </w:tc>
        <w:tc>
          <w:tcPr/>
          <w:p>
            <w:pPr>
              <w:pStyle w:val="Compact"/>
              <w:jc w:val="left"/>
            </w:pPr>
            <w:r>
              <w:t xml:space="preserve">2/0.87 (2.29); 0.22</w:t>
            </w:r>
          </w:p>
        </w:tc>
        <w:tc>
          <w:tcPr/>
          <w:p>
            <w:pPr>
              <w:pStyle w:val="Compact"/>
              <w:jc w:val="left"/>
            </w:pPr>
            <w:r>
              <w:t xml:space="preserve">0.24</w:t>
            </w:r>
          </w:p>
        </w:tc>
        <w:tc>
          <w:tcPr/>
          <w:p>
            <w:pPr>
              <w:pStyle w:val="Compact"/>
              <w:jc w:val="left"/>
            </w:pPr>
            <w:r>
              <w:t xml:space="preserve">0.52; 0.29</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 0.0014</w:t>
            </w:r>
          </w:p>
        </w:tc>
        <w:tc>
          <w:tcPr/>
          <w:p>
            <w:pPr>
              <w:pStyle w:val="Compact"/>
              <w:jc w:val="left"/>
            </w:pPr>
            <w:r>
              <w:t xml:space="preserve">105/96.6 (1.09); 0.13</w:t>
            </w:r>
          </w:p>
        </w:tc>
        <w:tc>
          <w:tcPr/>
          <w:p>
            <w:pPr>
              <w:pStyle w:val="Compact"/>
              <w:jc w:val="left"/>
            </w:pPr>
            <w:r>
              <w:t xml:space="preserve">0.066</w:t>
            </w:r>
          </w:p>
        </w:tc>
        <w:tc>
          <w:tcPr/>
          <w:p>
            <w:pPr>
              <w:pStyle w:val="Compact"/>
              <w:jc w:val="left"/>
            </w:pPr>
            <w:r>
              <w:t xml:space="preserve">0.0086; 0.16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 0.38</w:t>
            </w:r>
          </w:p>
        </w:tc>
        <w:tc>
          <w:tcPr/>
          <w:p>
            <w:pPr>
              <w:pStyle w:val="Compact"/>
              <w:jc w:val="left"/>
            </w:pPr>
            <w:r>
              <w:t xml:space="preserve">44/45.9 (0.96); 0.68</w:t>
            </w:r>
          </w:p>
        </w:tc>
        <w:tc>
          <w:tcPr/>
          <w:p>
            <w:pPr>
              <w:pStyle w:val="Compact"/>
              <w:jc w:val="left"/>
            </w:pPr>
            <w:r>
              <w:t xml:space="preserve">0.61</w:t>
            </w:r>
          </w:p>
        </w:tc>
        <w:tc>
          <w:tcPr/>
          <w:p>
            <w:pPr>
              <w:pStyle w:val="Compact"/>
              <w:jc w:val="left"/>
            </w:pPr>
            <w:r>
              <w:t xml:space="preserve">0.011; 0.041</w:t>
            </w:r>
          </w:p>
        </w:tc>
      </w:tr>
    </w:tbl>
    <w:p>
      <w:pPr>
        <w:pStyle w:val="BodyText"/>
      </w:pPr>
      <w:r>
        <w:rPr>
          <w:bCs/>
          <w:b/>
        </w:rPr>
        <w:t xml:space="preserve">Table 2.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r>
        <w:br w:type="page"/>
      </w:r>
    </w:p>
    <w:bookmarkEnd w:id="45"/>
    <w:bookmarkStart w:id="64" w:name="figures"/>
    <w:p>
      <w:pPr>
        <w:pStyle w:val="Heading1"/>
      </w:pPr>
      <w:r>
        <w:t xml:space="preserve">Figures</w:t>
      </w:r>
    </w:p>
    <w:p>
      <w:pPr>
        <w:pStyle w:val="FirstParagraph"/>
      </w:pPr>
      <w:r>
        <w:drawing>
          <wp:inline>
            <wp:extent cx="5727700" cy="3554212"/>
            <wp:effectExtent b="0" l="0" r="0" t="0"/>
            <wp:docPr descr="" title="" id="47" name="Picture"/>
            <a:graphic>
              <a:graphicData uri="http://schemas.openxmlformats.org/drawingml/2006/picture">
                <pic:pic>
                  <pic:nvPicPr>
                    <pic:cNvPr descr="figures/Fig1_study_design.png" id="48" name="Picture"/>
                    <pic:cNvPicPr>
                      <a:picLocks noChangeArrowheads="1" noChangeAspect="1"/>
                    </pic:cNvPicPr>
                  </pic:nvPicPr>
                  <pic:blipFill>
                    <a:blip r:embed="rId46"/>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and HPO),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4433047" cy="6309360"/>
            <wp:effectExtent b="0" l="0" r="0" t="0"/>
            <wp:docPr descr="" title="" id="50" name="Picture"/>
            <a:graphic>
              <a:graphicData uri="http://schemas.openxmlformats.org/drawingml/2006/picture">
                <pic:pic>
                  <pic:nvPicPr>
                    <pic:cNvPr descr="figures/Fig2_locus_enrichment.png" id="51" name="Picture"/>
                    <pic:cNvPicPr>
                      <a:picLocks noChangeArrowheads="1" noChangeAspect="1"/>
                    </pic:cNvPicPr>
                  </pic:nvPicPr>
                  <pic:blipFill>
                    <a:blip r:embed="rId49"/>
                    <a:stretch>
                      <a:fillRect/>
                    </a:stretch>
                  </pic:blipFill>
                  <pic:spPr bwMode="auto">
                    <a:xfrm>
                      <a:off x="0" y="0"/>
                      <a:ext cx="4433047"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under the primary null (blue circles) and the constraint-matched null (gnomAD v2.1.1; orange diamonds). Filled markers: FDR q &lt; 0.05 within set family. Columns give observed/expected loci and exact p-values under the primary null and the constraint-matched nulls (gnomAD v2.1.1 and v4.1). (B) HPO organ systems with ≥ 5 expected loci. Enrichment under the primary null (blue) shrinks towards 1 under the constraint-matched null (orange), and none remains significant.</w:t>
      </w:r>
    </w:p>
    <w:p>
      <w:r>
        <w:br w:type="page"/>
      </w:r>
    </w:p>
    <w:p>
      <w:pPr>
        <w:pStyle w:val="BodyText"/>
      </w:pPr>
      <w:r>
        <w:drawing>
          <wp:inline>
            <wp:extent cx="4701372" cy="6675120"/>
            <wp:effectExtent b="0" l="0" r="0" t="0"/>
            <wp:docPr descr="" title="" id="53" name="Picture"/>
            <a:graphic>
              <a:graphicData uri="http://schemas.openxmlformats.org/drawingml/2006/picture">
                <pic:pic>
                  <pic:nvPicPr>
                    <pic:cNvPr descr="figures/Fig3_candidate_genes.png" id="54" name="Picture"/>
                    <pic:cNvPicPr>
                      <a:picLocks noChangeArrowheads="1" noChangeAspect="1"/>
                    </pic:cNvPicPr>
                  </pic:nvPicPr>
                  <pic:blipFill>
                    <a:blip r:embed="rId52"/>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The number of gene-level evidence lines, which are not independent, is given on the right.</w:t>
      </w:r>
    </w:p>
    <w:p>
      <w:r>
        <w:br w:type="page"/>
      </w:r>
    </w:p>
    <w:p>
      <w:pPr>
        <w:pStyle w:val="BodyText"/>
      </w:pPr>
      <w:r>
        <w:drawing>
          <wp:inline>
            <wp:extent cx="5727700" cy="2130847"/>
            <wp:effectExtent b="0" l="0" r="0" t="0"/>
            <wp:docPr descr="" title="" id="56" name="Picture"/>
            <a:graphic>
              <a:graphicData uri="http://schemas.openxmlformats.org/drawingml/2006/picture">
                <pic:pic>
                  <pic:nvPicPr>
                    <pic:cNvPr descr="figures/Fig4_monoamine_pathway.png" id="57" name="Picture"/>
                    <pic:cNvPicPr>
                      <a:picLocks noChangeArrowheads="1" noChangeAspect="1"/>
                    </pic:cNvPicPr>
                  </pic:nvPicPr>
                  <pic:blipFill>
                    <a:blip r:embed="rId55"/>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59" name="Picture"/>
            <a:graphic>
              <a:graphicData uri="http://schemas.openxmlformats.org/drawingml/2006/picture">
                <pic:pic>
                  <pic:nvPicPr>
                    <pic:cNvPr descr="figures/Fig5_rare_common_convergence.png" id="60" name="Picture"/>
                    <pic:cNvPicPr>
                      <a:picLocks noChangeArrowheads="1" noChangeAspect="1"/>
                    </pic:cNvPicPr>
                  </pic:nvPicPr>
                  <pic:blipFill>
                    <a:blip r:embed="rId58"/>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2" name="Picture"/>
            <a:graphic>
              <a:graphicData uri="http://schemas.openxmlformats.org/drawingml/2006/picture">
                <pic:pic>
                  <pic:nvPicPr>
                    <pic:cNvPr descr="figures/FigS1_kcnh2_coloc.png" id="63" name="Picture"/>
                    <pic:cNvPicPr>
                      <a:picLocks noChangeArrowheads="1" noChangeAspect="1"/>
                    </pic:cNvPicPr>
                  </pic:nvPicPr>
                  <pic:blipFill>
                    <a:blip r:embed="rId61"/>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4"/>
    <w:bookmarkStart w:id="65"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Supplementary Table S3: locus-level and MAGMA enrichment results, including sensitivity analyses and relative contrasts.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5"/>
    <w:bookmarkStart w:id="267" w:name="references"/>
    <w:p>
      <w:pPr>
        <w:pStyle w:val="Heading1"/>
      </w:pPr>
      <w:r>
        <w:t xml:space="preserve">References</w:t>
      </w:r>
    </w:p>
    <w:bookmarkStart w:id="266" w:name="refs"/>
    <w:bookmarkStart w:id="67"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6">
        <w:r>
          <w:rPr>
            <w:rStyle w:val="Hyperlink"/>
          </w:rPr>
          <w:t xml:space="preserve">10.1016/j.cmet.2019.06.019</w:t>
        </w:r>
      </w:hyperlink>
    </w:p>
    <w:bookmarkEnd w:id="67"/>
    <w:bookmarkStart w:id="69"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8">
        <w:r>
          <w:rPr>
            <w:rStyle w:val="Hyperlink"/>
          </w:rPr>
          <w:t xml:space="preserve">10.1056/NEJMra1802337</w:t>
        </w:r>
      </w:hyperlink>
    </w:p>
    <w:bookmarkEnd w:id="69"/>
    <w:bookmarkStart w:id="71"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0">
        <w:r>
          <w:rPr>
            <w:rStyle w:val="Hyperlink"/>
          </w:rPr>
          <w:t xml:space="preserve">10.1371/journal.pbio.3001567</w:t>
        </w:r>
      </w:hyperlink>
    </w:p>
    <w:bookmarkEnd w:id="71"/>
    <w:bookmarkStart w:id="73"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2">
        <w:r>
          <w:rPr>
            <w:rStyle w:val="Hyperlink"/>
          </w:rPr>
          <w:t xml:space="preserve">10.1126/science.aax7621</w:t>
        </w:r>
      </w:hyperlink>
    </w:p>
    <w:bookmarkEnd w:id="73"/>
    <w:bookmarkStart w:id="75"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4">
        <w:r>
          <w:rPr>
            <w:rStyle w:val="Hyperlink"/>
          </w:rPr>
          <w:t xml:space="preserve">10.1038/s41573-020-00109-w</w:t>
        </w:r>
      </w:hyperlink>
    </w:p>
    <w:bookmarkEnd w:id="75"/>
    <w:bookmarkStart w:id="77"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6">
        <w:r>
          <w:rPr>
            <w:rStyle w:val="Hyperlink"/>
          </w:rPr>
          <w:t xml:space="preserve">10.1016/j.smrv.2007.07.005</w:t>
        </w:r>
      </w:hyperlink>
    </w:p>
    <w:bookmarkEnd w:id="77"/>
    <w:bookmarkStart w:id="79"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8">
        <w:r>
          <w:rPr>
            <w:rStyle w:val="Hyperlink"/>
          </w:rPr>
          <w:t xml:space="preserve">10.1016/j.cub.2016.04.011</w:t>
        </w:r>
      </w:hyperlink>
    </w:p>
    <w:bookmarkEnd w:id="79"/>
    <w:bookmarkStart w:id="81"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0">
        <w:r>
          <w:rPr>
            <w:rStyle w:val="Hyperlink"/>
          </w:rPr>
          <w:t xml:space="preserve">10.1080/07420528.2018.1454458</w:t>
        </w:r>
      </w:hyperlink>
    </w:p>
    <w:bookmarkEnd w:id="81"/>
    <w:bookmarkStart w:id="83"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2">
        <w:r>
          <w:rPr>
            <w:rStyle w:val="Hyperlink"/>
          </w:rPr>
          <w:t xml:space="preserve">10.1001/jamapsychiatry.2021.0959</w:t>
        </w:r>
      </w:hyperlink>
    </w:p>
    <w:bookmarkEnd w:id="83"/>
    <w:bookmarkStart w:id="85"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4">
        <w:r>
          <w:rPr>
            <w:rStyle w:val="Hyperlink"/>
          </w:rPr>
          <w:t xml:space="preserve">10.1038/s41380-021-01157-3</w:t>
        </w:r>
      </w:hyperlink>
    </w:p>
    <w:bookmarkEnd w:id="85"/>
    <w:bookmarkStart w:id="87"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6">
        <w:r>
          <w:rPr>
            <w:rStyle w:val="Hyperlink"/>
          </w:rPr>
          <w:t xml:space="preserve">10.1136/bmj.l2327</w:t>
        </w:r>
      </w:hyperlink>
    </w:p>
    <w:bookmarkEnd w:id="87"/>
    <w:bookmarkStart w:id="89"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8">
        <w:r>
          <w:rPr>
            <w:rStyle w:val="Hyperlink"/>
          </w:rPr>
          <w:t xml:space="preserve">10.1038/ncomms10448</w:t>
        </w:r>
      </w:hyperlink>
    </w:p>
    <w:bookmarkEnd w:id="89"/>
    <w:bookmarkStart w:id="91"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0">
        <w:r>
          <w:rPr>
            <w:rStyle w:val="Hyperlink"/>
          </w:rPr>
          <w:t xml:space="preserve">10.1038/ncomms10889</w:t>
        </w:r>
      </w:hyperlink>
    </w:p>
    <w:bookmarkEnd w:id="91"/>
    <w:bookmarkStart w:id="93"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2">
        <w:r>
          <w:rPr>
            <w:rStyle w:val="Hyperlink"/>
          </w:rPr>
          <w:t xml:space="preserve">10.1371/journal.pgen.1006125</w:t>
        </w:r>
      </w:hyperlink>
    </w:p>
    <w:bookmarkEnd w:id="93"/>
    <w:bookmarkStart w:id="95"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4">
        <w:r>
          <w:rPr>
            <w:rStyle w:val="Hyperlink"/>
          </w:rPr>
          <w:t xml:space="preserve">10.1038/s41467-018-08259-7</w:t>
        </w:r>
      </w:hyperlink>
    </w:p>
    <w:bookmarkEnd w:id="95"/>
    <w:bookmarkStart w:id="97"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6">
        <w:r>
          <w:rPr>
            <w:rStyle w:val="Hyperlink"/>
          </w:rPr>
          <w:t xml:space="preserve">10.1038/s41588-025-02335-7</w:t>
        </w:r>
      </w:hyperlink>
    </w:p>
    <w:bookmarkEnd w:id="97"/>
    <w:bookmarkStart w:id="99"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8">
        <w:r>
          <w:rPr>
            <w:rStyle w:val="Hyperlink"/>
          </w:rPr>
          <w:t xml:space="preserve">10.1038/s41576-022-00519-z</w:t>
        </w:r>
      </w:hyperlink>
    </w:p>
    <w:bookmarkEnd w:id="99"/>
    <w:bookmarkStart w:id="101"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0">
        <w:r>
          <w:rPr>
            <w:rStyle w:val="Hyperlink"/>
          </w:rPr>
          <w:t xml:space="preserve">10.1038/s41467-019-09576-1</w:t>
        </w:r>
      </w:hyperlink>
    </w:p>
    <w:bookmarkEnd w:id="101"/>
    <w:bookmarkStart w:id="103"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2">
        <w:r>
          <w:rPr>
            <w:rStyle w:val="Hyperlink"/>
          </w:rPr>
          <w:t xml:space="preserve">10.1038/12502</w:t>
        </w:r>
      </w:hyperlink>
    </w:p>
    <w:bookmarkEnd w:id="103"/>
    <w:bookmarkStart w:id="105"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4">
        <w:r>
          <w:rPr>
            <w:rStyle w:val="Hyperlink"/>
          </w:rPr>
          <w:t xml:space="preserve">10.1126/science.1057499</w:t>
        </w:r>
      </w:hyperlink>
    </w:p>
    <w:bookmarkEnd w:id="105"/>
    <w:bookmarkStart w:id="107"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6">
        <w:r>
          <w:rPr>
            <w:rStyle w:val="Hyperlink"/>
          </w:rPr>
          <w:t xml:space="preserve">10.1038/nature03453</w:t>
        </w:r>
      </w:hyperlink>
    </w:p>
    <w:bookmarkEnd w:id="107"/>
    <w:bookmarkStart w:id="109"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8">
        <w:r>
          <w:rPr>
            <w:rStyle w:val="Hyperlink"/>
          </w:rPr>
          <w:t xml:space="preserve">10.1073/pnas.1600039113</w:t>
        </w:r>
      </w:hyperlink>
    </w:p>
    <w:bookmarkEnd w:id="109"/>
    <w:bookmarkStart w:id="111"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0">
        <w:r>
          <w:rPr>
            <w:rStyle w:val="Hyperlink"/>
          </w:rPr>
          <w:t xml:space="preserve">10.7554/eLife.16695</w:t>
        </w:r>
      </w:hyperlink>
    </w:p>
    <w:bookmarkEnd w:id="111"/>
    <w:bookmarkStart w:id="113"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2">
        <w:r>
          <w:rPr>
            <w:rStyle w:val="Hyperlink"/>
          </w:rPr>
          <w:t xml:space="preserve">10.1073/pnas.1819110116</w:t>
        </w:r>
      </w:hyperlink>
    </w:p>
    <w:bookmarkEnd w:id="113"/>
    <w:bookmarkStart w:id="115"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4">
        <w:r>
          <w:rPr>
            <w:rStyle w:val="Hyperlink"/>
          </w:rPr>
          <w:t xml:space="preserve">10.1016/j.cell.2017.03.027</w:t>
        </w:r>
      </w:hyperlink>
    </w:p>
    <w:bookmarkEnd w:id="115"/>
    <w:bookmarkStart w:id="117"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6">
        <w:r>
          <w:rPr>
            <w:rStyle w:val="Hyperlink"/>
          </w:rPr>
          <w:t xml:space="preserve">10.1126/science.1174443</w:t>
        </w:r>
      </w:hyperlink>
    </w:p>
    <w:bookmarkEnd w:id="117"/>
    <w:bookmarkStart w:id="119"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8">
        <w:r>
          <w:rPr>
            <w:rStyle w:val="Hyperlink"/>
          </w:rPr>
          <w:t xml:space="preserve">10.1016/j.neuron.2019.07.026</w:t>
        </w:r>
      </w:hyperlink>
    </w:p>
    <w:bookmarkEnd w:id="119"/>
    <w:bookmarkStart w:id="121"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0">
        <w:r>
          <w:rPr>
            <w:rStyle w:val="Hyperlink"/>
          </w:rPr>
          <w:t xml:space="preserve">10.1126/scitranslmed.aax2014</w:t>
        </w:r>
      </w:hyperlink>
    </w:p>
    <w:bookmarkEnd w:id="121"/>
    <w:bookmarkStart w:id="123"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2">
        <w:r>
          <w:rPr>
            <w:rStyle w:val="Hyperlink"/>
          </w:rPr>
          <w:t xml:space="preserve">10.1016/j.cub.2020.09.071</w:t>
        </w:r>
      </w:hyperlink>
    </w:p>
    <w:bookmarkEnd w:id="123"/>
    <w:bookmarkStart w:id="125"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4">
        <w:r>
          <w:rPr>
            <w:rStyle w:val="Hyperlink"/>
          </w:rPr>
          <w:t xml:space="preserve">10.1038/s41386-019-0476-7</w:t>
        </w:r>
      </w:hyperlink>
    </w:p>
    <w:bookmarkEnd w:id="125"/>
    <w:bookmarkStart w:id="127"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6">
        <w:r>
          <w:rPr>
            <w:rStyle w:val="Hyperlink"/>
          </w:rPr>
          <w:t xml:space="preserve">10.1186/s13229-021-00426-w</w:t>
        </w:r>
      </w:hyperlink>
    </w:p>
    <w:bookmarkEnd w:id="127"/>
    <w:bookmarkStart w:id="129"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8">
        <w:r>
          <w:rPr>
            <w:rStyle w:val="Hyperlink"/>
          </w:rPr>
          <w:t xml:space="preserve">10.1136/jmg.37.6.428</w:t>
        </w:r>
      </w:hyperlink>
    </w:p>
    <w:bookmarkEnd w:id="129"/>
    <w:bookmarkStart w:id="131"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0">
        <w:r>
          <w:rPr>
            <w:rStyle w:val="Hyperlink"/>
          </w:rPr>
          <w:t xml:space="preserve">10.1067/mpd.2001.115018</w:t>
        </w:r>
      </w:hyperlink>
    </w:p>
    <w:bookmarkEnd w:id="131"/>
    <w:bookmarkStart w:id="133"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2">
        <w:r>
          <w:rPr>
            <w:rStyle w:val="Hyperlink"/>
          </w:rPr>
          <w:t xml:space="preserve">10.1371/journal.pgen.1010356</w:t>
        </w:r>
      </w:hyperlink>
    </w:p>
    <w:bookmarkEnd w:id="133"/>
    <w:bookmarkStart w:id="135"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4">
        <w:r>
          <w:rPr>
            <w:rStyle w:val="Hyperlink"/>
          </w:rPr>
          <w:t xml:space="preserve">10.1038/s41586-021-04103-z</w:t>
        </w:r>
      </w:hyperlink>
    </w:p>
    <w:bookmarkEnd w:id="135"/>
    <w:bookmarkStart w:id="137"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6">
        <w:r>
          <w:rPr>
            <w:rStyle w:val="Hyperlink"/>
          </w:rPr>
          <w:t xml:space="preserve">10.1038/s41562-023-01785-5</w:t>
        </w:r>
      </w:hyperlink>
    </w:p>
    <w:bookmarkEnd w:id="137"/>
    <w:bookmarkStart w:id="139"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8">
        <w:r>
          <w:rPr>
            <w:rStyle w:val="Hyperlink"/>
          </w:rPr>
          <w:t xml:space="preserve">10.1016/j.cell.2013.08.030</w:t>
        </w:r>
      </w:hyperlink>
    </w:p>
    <w:bookmarkEnd w:id="139"/>
    <w:bookmarkStart w:id="141"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0">
        <w:r>
          <w:rPr>
            <w:rStyle w:val="Hyperlink"/>
          </w:rPr>
          <w:t xml:space="preserve">10.1016/j.ajhg.2018.08.017</w:t>
        </w:r>
      </w:hyperlink>
    </w:p>
    <w:bookmarkEnd w:id="141"/>
    <w:bookmarkStart w:id="143"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2">
        <w:r>
          <w:rPr>
            <w:rStyle w:val="Hyperlink"/>
          </w:rPr>
          <w:t xml:space="preserve">10.1093/bioinformatics/btaa1096</w:t>
        </w:r>
      </w:hyperlink>
    </w:p>
    <w:bookmarkEnd w:id="143"/>
    <w:bookmarkStart w:id="145"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4">
        <w:r>
          <w:rPr>
            <w:rStyle w:val="Hyperlink"/>
          </w:rPr>
          <w:t xml:space="preserve">10.1038/s44319-026-00733-4</w:t>
        </w:r>
      </w:hyperlink>
    </w:p>
    <w:bookmarkEnd w:id="145"/>
    <w:bookmarkStart w:id="147"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6">
        <w:r>
          <w:rPr>
            <w:rStyle w:val="Hyperlink"/>
          </w:rPr>
          <w:t xml:space="preserve">10.1038/s41467-026-69208-3</w:t>
        </w:r>
      </w:hyperlink>
    </w:p>
    <w:bookmarkEnd w:id="147"/>
    <w:bookmarkStart w:id="149" w:name="ref-mostafavi2023systematic"/>
    <w:p>
      <w:pPr>
        <w:pStyle w:val="Bibliography"/>
      </w:pPr>
      <w:r>
        <w:t xml:space="preserve">42.</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148">
        <w:r>
          <w:rPr>
            <w:rStyle w:val="Hyperlink"/>
          </w:rPr>
          <w:t xml:space="preserve">10.1038/s41588-023-01529-1</w:t>
        </w:r>
      </w:hyperlink>
    </w:p>
    <w:bookmarkEnd w:id="149"/>
    <w:bookmarkStart w:id="151" w:name="ref-timmons2015bias"/>
    <w:p>
      <w:pPr>
        <w:pStyle w:val="Bibliography"/>
      </w:pPr>
      <w:r>
        <w:t xml:space="preserve">43.</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50">
        <w:r>
          <w:rPr>
            <w:rStyle w:val="Hyperlink"/>
          </w:rPr>
          <w:t xml:space="preserve">10.1186/s13059-015-0761-7</w:t>
        </w:r>
      </w:hyperlink>
    </w:p>
    <w:bookmarkEnd w:id="151"/>
    <w:bookmarkStart w:id="153" w:name="ref-wijesooriya2022enrichment"/>
    <w:p>
      <w:pPr>
        <w:pStyle w:val="Bibliography"/>
      </w:pPr>
      <w:r>
        <w:t xml:space="preserve">44.</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2">
        <w:r>
          <w:rPr>
            <w:rStyle w:val="Hyperlink"/>
          </w:rPr>
          <w:t xml:space="preserve">10.1371/journal.pcbi.1009935</w:t>
        </w:r>
      </w:hyperlink>
    </w:p>
    <w:bookmarkEnd w:id="153"/>
    <w:bookmarkStart w:id="155" w:name="ref-halberg1999commentary"/>
    <w:p>
      <w:pPr>
        <w:pStyle w:val="Bibliography"/>
      </w:pPr>
      <w:r>
        <w:t xml:space="preserve">45.</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4">
        <w:r>
          <w:rPr>
            <w:rStyle w:val="Hyperlink"/>
          </w:rPr>
          <w:t xml:space="preserve">10.1093/gerona/54.6.m309</w:t>
        </w:r>
      </w:hyperlink>
    </w:p>
    <w:bookmarkEnd w:id="155"/>
    <w:bookmarkStart w:id="157" w:name="ref-halberg2001chronomics"/>
    <w:p>
      <w:pPr>
        <w:pStyle w:val="Bibliography"/>
      </w:pPr>
      <w:r>
        <w:t xml:space="preserve">46.</w:t>
      </w:r>
      <w:r>
        <w:t xml:space="preserve"> </w:t>
      </w:r>
      <w:r>
        <w:t xml:space="preserve">	</w:t>
      </w:r>
      <w:r>
        <w:t xml:space="preserve">Halberg F, Cornélissen G, Katinas G, Hillman D, Schwartzkopff O.</w:t>
      </w:r>
      <w:r>
        <w:t xml:space="preserve"> </w:t>
      </w:r>
      <w:hyperlink r:id="rId156">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7"/>
    <w:bookmarkStart w:id="159" w:name="ref-patel2012circadiomics"/>
    <w:p>
      <w:pPr>
        <w:pStyle w:val="Bibliography"/>
      </w:pPr>
      <w:r>
        <w:t xml:space="preserve">47.</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8">
        <w:r>
          <w:rPr>
            <w:rStyle w:val="Hyperlink"/>
          </w:rPr>
          <w:t xml:space="preserve">10.1038/nmeth.2111</w:t>
        </w:r>
      </w:hyperlink>
    </w:p>
    <w:bookmarkEnd w:id="159"/>
    <w:bookmarkStart w:id="161" w:name="ref-tabibzadeh2021circadiomic"/>
    <w:p>
      <w:pPr>
        <w:pStyle w:val="Bibliography"/>
      </w:pPr>
      <w:r>
        <w:t xml:space="preserve">48.</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60">
        <w:r>
          <w:rPr>
            <w:rStyle w:val="Hyperlink"/>
          </w:rPr>
          <w:t xml:space="preserve">10.1016/j.arr.2021.101424</w:t>
        </w:r>
      </w:hyperlink>
    </w:p>
    <w:bookmarkEnd w:id="161"/>
    <w:bookmarkStart w:id="163" w:name="ref-jeyaraj2012klf15"/>
    <w:p>
      <w:pPr>
        <w:pStyle w:val="Bibliography"/>
      </w:pPr>
      <w:r>
        <w:t xml:space="preserve">49.</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2">
        <w:r>
          <w:rPr>
            <w:rStyle w:val="Hyperlink"/>
          </w:rPr>
          <w:t xml:space="preserve">10.1038/nature10852</w:t>
        </w:r>
      </w:hyperlink>
    </w:p>
    <w:bookmarkEnd w:id="163"/>
    <w:bookmarkStart w:id="165" w:name="ref-schroder2015kcnh2"/>
    <w:p>
      <w:pPr>
        <w:pStyle w:val="Bibliography"/>
      </w:pPr>
      <w:r>
        <w:t xml:space="preserve">50.</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4">
        <w:r>
          <w:rPr>
            <w:rStyle w:val="Hyperlink"/>
          </w:rPr>
          <w:t xml:space="preserve">10.1016/j.hrthm.2015.02.019</w:t>
        </w:r>
      </w:hyperlink>
    </w:p>
    <w:bookmarkEnd w:id="165"/>
    <w:bookmarkStart w:id="167" w:name="ref-black2019review"/>
    <w:p>
      <w:pPr>
        <w:pStyle w:val="Bibliography"/>
      </w:pPr>
      <w:r>
        <w:t xml:space="preserve">51.</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6">
        <w:r>
          <w:rPr>
            <w:rStyle w:val="Hyperlink"/>
          </w:rPr>
          <w:t xml:space="preserve">10.1016/j.hrthm.2018.08.026</w:t>
        </w:r>
      </w:hyperlink>
    </w:p>
    <w:bookmarkEnd w:id="167"/>
    <w:bookmarkStart w:id="169" w:name="ref-scheiermann2018clocking"/>
    <w:p>
      <w:pPr>
        <w:pStyle w:val="Bibliography"/>
      </w:pPr>
      <w:r>
        <w:t xml:space="preserve">52.</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8">
        <w:r>
          <w:rPr>
            <w:rStyle w:val="Hyperlink"/>
          </w:rPr>
          <w:t xml:space="preserve">10.1038/s41577-018-0008-4</w:t>
        </w:r>
      </w:hyperlink>
    </w:p>
    <w:bookmarkEnd w:id="169"/>
    <w:bookmarkStart w:id="171" w:name="ref-reis2011complement"/>
    <w:p>
      <w:pPr>
        <w:pStyle w:val="Bibliography"/>
      </w:pPr>
      <w:r>
        <w:t xml:space="preserve">53.</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70">
        <w:r>
          <w:rPr>
            <w:rStyle w:val="Hyperlink"/>
          </w:rPr>
          <w:t xml:space="preserve">10.1016/j.bbi.2011.04.011</w:t>
        </w:r>
      </w:hyperlink>
    </w:p>
    <w:bookmarkEnd w:id="171"/>
    <w:bookmarkStart w:id="173" w:name="ref-takahashi1968gh"/>
    <w:p>
      <w:pPr>
        <w:pStyle w:val="Bibliography"/>
      </w:pPr>
      <w:r>
        <w:t xml:space="preserve">54.</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2">
        <w:r>
          <w:rPr>
            <w:rStyle w:val="Hyperlink"/>
          </w:rPr>
          <w:t xml:space="preserve">10.1172/JCI105893</w:t>
        </w:r>
      </w:hyperlink>
    </w:p>
    <w:bookmarkEnd w:id="173"/>
    <w:bookmarkStart w:id="175" w:name="ref-vancauter1998somatotropic"/>
    <w:p>
      <w:pPr>
        <w:pStyle w:val="Bibliography"/>
      </w:pPr>
      <w:r>
        <w:t xml:space="preserve">55.</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4">
        <w:r>
          <w:rPr>
            <w:rStyle w:val="Hyperlink"/>
          </w:rPr>
          <w:t xml:space="preserve">10.1093/sleep/21.6.553</w:t>
        </w:r>
      </w:hyperlink>
    </w:p>
    <w:bookmarkEnd w:id="175"/>
    <w:bookmarkStart w:id="177" w:name="ref-arking2014qt"/>
    <w:p>
      <w:pPr>
        <w:pStyle w:val="Bibliography"/>
      </w:pPr>
      <w:r>
        <w:t xml:space="preserve">56.</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6">
        <w:r>
          <w:rPr>
            <w:rStyle w:val="Hyperlink"/>
          </w:rPr>
          <w:t xml:space="preserve">10.1038/ng.3014</w:t>
        </w:r>
      </w:hyperlink>
    </w:p>
    <w:bookmarkEnd w:id="177"/>
    <w:bookmarkStart w:id="179" w:name="ref-little2009strega"/>
    <w:p>
      <w:pPr>
        <w:pStyle w:val="Bibliography"/>
      </w:pPr>
      <w:r>
        <w:t xml:space="preserve">57.</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8">
        <w:r>
          <w:rPr>
            <w:rStyle w:val="Hyperlink"/>
          </w:rPr>
          <w:t xml:space="preserve">10.1371/journal.pmed.1000022</w:t>
        </w:r>
      </w:hyperlink>
    </w:p>
    <w:bookmarkEnd w:id="179"/>
    <w:bookmarkStart w:id="181" w:name="ref-wilkinson2016fair"/>
    <w:p>
      <w:pPr>
        <w:pStyle w:val="Bibliography"/>
      </w:pPr>
      <w:r>
        <w:t xml:space="preserve">58.</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80">
        <w:r>
          <w:rPr>
            <w:rStyle w:val="Hyperlink"/>
          </w:rPr>
          <w:t xml:space="preserve">10.1038/sdata.2016.18</w:t>
        </w:r>
      </w:hyperlink>
    </w:p>
    <w:bookmarkEnd w:id="181"/>
    <w:bookmarkStart w:id="183" w:name="ref-barker2022fair4rs"/>
    <w:p>
      <w:pPr>
        <w:pStyle w:val="Bibliography"/>
      </w:pPr>
      <w:r>
        <w:t xml:space="preserve">59.</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2">
        <w:r>
          <w:rPr>
            <w:rStyle w:val="Hyperlink"/>
          </w:rPr>
          <w:t xml:space="preserve">10.1038/s41597-022-01710-x</w:t>
        </w:r>
      </w:hyperlink>
    </w:p>
    <w:bookmarkEnd w:id="183"/>
    <w:bookmarkStart w:id="185" w:name="ref-chang2015plink"/>
    <w:p>
      <w:pPr>
        <w:pStyle w:val="Bibliography"/>
      </w:pPr>
      <w:r>
        <w:t xml:space="preserve">60.</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4">
        <w:r>
          <w:rPr>
            <w:rStyle w:val="Hyperlink"/>
          </w:rPr>
          <w:t xml:space="preserve">10.1186/s13742-015-0047-8</w:t>
        </w:r>
      </w:hyperlink>
    </w:p>
    <w:bookmarkEnd w:id="185"/>
    <w:bookmarkStart w:id="187" w:name="ref-auton2015kgp"/>
    <w:p>
      <w:pPr>
        <w:pStyle w:val="Bibliography"/>
      </w:pPr>
      <w:r>
        <w:t xml:space="preserve">61.</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6">
        <w:r>
          <w:rPr>
            <w:rStyle w:val="Hyperlink"/>
          </w:rPr>
          <w:t xml:space="preserve">10.1038/nature15393</w:t>
        </w:r>
      </w:hyperlink>
    </w:p>
    <w:bookmarkEnd w:id="187"/>
    <w:bookmarkStart w:id="189" w:name="ref-mudge2025gencode"/>
    <w:p>
      <w:pPr>
        <w:pStyle w:val="Bibliography"/>
      </w:pPr>
      <w:r>
        <w:t xml:space="preserve">62.</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8">
        <w:r>
          <w:rPr>
            <w:rStyle w:val="Hyperlink"/>
          </w:rPr>
          <w:t xml:space="preserve">10.1093/nar/gkae1078</w:t>
        </w:r>
      </w:hyperlink>
    </w:p>
    <w:bookmarkEnd w:id="189"/>
    <w:bookmarkStart w:id="191" w:name="ref-seal2023hgnc"/>
    <w:p>
      <w:pPr>
        <w:pStyle w:val="Bibliography"/>
      </w:pPr>
      <w:r>
        <w:t xml:space="preserve">63.</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90">
        <w:r>
          <w:rPr>
            <w:rStyle w:val="Hyperlink"/>
          </w:rPr>
          <w:t xml:space="preserve">10.1093/nar/gkac888</w:t>
        </w:r>
      </w:hyperlink>
    </w:p>
    <w:bookmarkEnd w:id="191"/>
    <w:bookmarkStart w:id="193" w:name="ref-amberger2019omim"/>
    <w:p>
      <w:pPr>
        <w:pStyle w:val="Bibliography"/>
      </w:pPr>
      <w:r>
        <w:t xml:space="preserve">64.</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2">
        <w:r>
          <w:rPr>
            <w:rStyle w:val="Hyperlink"/>
          </w:rPr>
          <w:t xml:space="preserve">10.1093/nar/gky1151</w:t>
        </w:r>
      </w:hyperlink>
    </w:p>
    <w:bookmarkEnd w:id="193"/>
    <w:bookmarkStart w:id="195" w:name="ref-gargano2024hpo"/>
    <w:p>
      <w:pPr>
        <w:pStyle w:val="Bibliography"/>
      </w:pPr>
      <w:r>
        <w:t xml:space="preserve">65.</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4">
        <w:r>
          <w:rPr>
            <w:rStyle w:val="Hyperlink"/>
          </w:rPr>
          <w:t xml:space="preserve">10.1093/nar/gkad1005</w:t>
        </w:r>
      </w:hyperlink>
    </w:p>
    <w:bookmarkEnd w:id="195"/>
    <w:bookmarkStart w:id="197" w:name="ref-lucano2026orphanet"/>
    <w:p>
      <w:pPr>
        <w:pStyle w:val="Bibliography"/>
      </w:pPr>
      <w:r>
        <w:t xml:space="preserve">66.</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6">
        <w:r>
          <w:rPr>
            <w:rStyle w:val="Hyperlink"/>
          </w:rPr>
          <w:t xml:space="preserve">10.2196/84553</w:t>
        </w:r>
      </w:hyperlink>
    </w:p>
    <w:bookmarkEnd w:id="197"/>
    <w:bookmarkStart w:id="199" w:name="ref-strande2017clingen"/>
    <w:p>
      <w:pPr>
        <w:pStyle w:val="Bibliography"/>
      </w:pPr>
      <w:r>
        <w:t xml:space="preserve">67.</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8">
        <w:r>
          <w:rPr>
            <w:rStyle w:val="Hyperlink"/>
          </w:rPr>
          <w:t xml:space="preserve">10.1016/j.ajhg.2017.04.015</w:t>
        </w:r>
      </w:hyperlink>
    </w:p>
    <w:bookmarkEnd w:id="199"/>
    <w:bookmarkStart w:id="201" w:name="ref-tangye2022iuis"/>
    <w:p>
      <w:pPr>
        <w:pStyle w:val="Bibliography"/>
      </w:pPr>
      <w:r>
        <w:t xml:space="preserve">68.</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200">
        <w:r>
          <w:rPr>
            <w:rStyle w:val="Hyperlink"/>
          </w:rPr>
          <w:t xml:space="preserve">10.1007/s10875-022-01289-3</w:t>
        </w:r>
      </w:hyperlink>
    </w:p>
    <w:bookmarkEnd w:id="201"/>
    <w:bookmarkStart w:id="203" w:name="ref-go2023"/>
    <w:p>
      <w:pPr>
        <w:pStyle w:val="Bibliography"/>
      </w:pPr>
      <w:r>
        <w:t xml:space="preserve">69.</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2">
        <w:r>
          <w:rPr>
            <w:rStyle w:val="Hyperlink"/>
          </w:rPr>
          <w:t xml:space="preserve">10.1093/genetics/iyad031</w:t>
        </w:r>
      </w:hyperlink>
    </w:p>
    <w:bookmarkEnd w:id="203"/>
    <w:bookmarkStart w:id="205" w:name="ref-karczewski2020gnomad"/>
    <w:p>
      <w:pPr>
        <w:pStyle w:val="Bibliography"/>
      </w:pPr>
      <w:r>
        <w:t xml:space="preserve">70.</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04">
        <w:r>
          <w:rPr>
            <w:rStyle w:val="Hyperlink"/>
          </w:rPr>
          <w:t xml:space="preserve">10.1038/s41586-020-2308-7</w:t>
        </w:r>
      </w:hyperlink>
    </w:p>
    <w:bookmarkEnd w:id="205"/>
    <w:bookmarkStart w:id="207" w:name="ref-guez2026gnomadv4"/>
    <w:p>
      <w:pPr>
        <w:pStyle w:val="Bibliography"/>
      </w:pPr>
      <w:r>
        <w:t xml:space="preserve">71.</w:t>
      </w:r>
      <w:r>
        <w:t xml:space="preserve"> </w:t>
      </w:r>
      <w:r>
        <w:t xml:space="preserve">	</w:t>
      </w:r>
      <w:r>
        <w:t xml:space="preserve">Guez J, Goodrich JK, Moldovan MA, et al.</w:t>
      </w:r>
      <w:r>
        <w:t xml:space="preserve"> </w:t>
      </w:r>
      <w:r>
        <w:t xml:space="preserve">Integrating 730,947 exome sequences with clinical literature improves gene discovery</w:t>
      </w:r>
      <w:r>
        <w:t xml:space="preserve">.</w:t>
      </w:r>
      <w:r>
        <w:t xml:space="preserve"> </w:t>
      </w:r>
      <w:r>
        <w:rPr>
          <w:iCs/>
          <w:i/>
        </w:rPr>
        <w:t xml:space="preserve">medRxiv</w:t>
      </w:r>
      <w:r>
        <w:t xml:space="preserve">. Published online 2026. doi:</w:t>
      </w:r>
      <w:hyperlink r:id="rId206">
        <w:r>
          <w:rPr>
            <w:rStyle w:val="Hyperlink"/>
          </w:rPr>
          <w:t xml:space="preserve">10.64898/2026.03.23.26349081</w:t>
        </w:r>
      </w:hyperlink>
    </w:p>
    <w:bookmarkEnd w:id="207"/>
    <w:bookmarkStart w:id="209" w:name="ref-kurian2011monoamine"/>
    <w:p>
      <w:pPr>
        <w:pStyle w:val="Bibliography"/>
      </w:pPr>
      <w:r>
        <w:t xml:space="preserve">72.</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8">
        <w:r>
          <w:rPr>
            <w:rStyle w:val="Hyperlink"/>
          </w:rPr>
          <w:t xml:space="preserve">10.1016/s1474-4422(11)70141-7</w:t>
        </w:r>
      </w:hyperlink>
    </w:p>
    <w:bookmarkEnd w:id="209"/>
    <w:bookmarkStart w:id="211" w:name="ref-opladen2016intd"/>
    <w:p>
      <w:pPr>
        <w:pStyle w:val="Bibliography"/>
      </w:pPr>
      <w:r>
        <w:t xml:space="preserve">73.</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10">
        <w:r>
          <w:rPr>
            <w:rStyle w:val="Hyperlink"/>
          </w:rPr>
          <w:t xml:space="preserve">10.1016/j.ymgmr.2016.09.006</w:t>
        </w:r>
      </w:hyperlink>
    </w:p>
    <w:bookmarkEnd w:id="211"/>
    <w:bookmarkStart w:id="213" w:name="ref-opladen2020bh4"/>
    <w:p>
      <w:pPr>
        <w:pStyle w:val="Bibliography"/>
      </w:pPr>
      <w:r>
        <w:t xml:space="preserve">74.</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12">
        <w:r>
          <w:rPr>
            <w:rStyle w:val="Hyperlink"/>
          </w:rPr>
          <w:t xml:space="preserve">10.1186/s13023-020-01379-8</w:t>
        </w:r>
      </w:hyperlink>
    </w:p>
    <w:bookmarkEnd w:id="213"/>
    <w:bookmarkStart w:id="215" w:name="ref-pers2015snpsnap"/>
    <w:p>
      <w:pPr>
        <w:pStyle w:val="Bibliography"/>
      </w:pPr>
      <w:r>
        <w:t xml:space="preserve">75.</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14">
        <w:r>
          <w:rPr>
            <w:rStyle w:val="Hyperlink"/>
          </w:rPr>
          <w:t xml:space="preserve">10.1093/bioinformatics/btu655</w:t>
        </w:r>
      </w:hyperlink>
    </w:p>
    <w:bookmarkEnd w:id="215"/>
    <w:bookmarkStart w:id="217" w:name="ref-benjamini1995fdr"/>
    <w:p>
      <w:pPr>
        <w:pStyle w:val="Bibliography"/>
      </w:pPr>
      <w:r>
        <w:t xml:space="preserve">76.</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6">
        <w:r>
          <w:rPr>
            <w:rStyle w:val="Hyperlink"/>
          </w:rPr>
          <w:t xml:space="preserve">10.1111/j.2517-6161.1995.tb02031.x</w:t>
        </w:r>
      </w:hyperlink>
    </w:p>
    <w:bookmarkEnd w:id="217"/>
    <w:bookmarkStart w:id="219" w:name="ref-deleeuw2015magma"/>
    <w:p>
      <w:pPr>
        <w:pStyle w:val="Bibliography"/>
      </w:pPr>
      <w:r>
        <w:t xml:space="preserve">77.</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8">
        <w:r>
          <w:rPr>
            <w:rStyle w:val="Hyperlink"/>
          </w:rPr>
          <w:t xml:space="preserve">10.1371/journal.pcbi.1004219</w:t>
        </w:r>
      </w:hyperlink>
    </w:p>
    <w:bookmarkEnd w:id="219"/>
    <w:bookmarkStart w:id="221" w:name="ref-bycroft2018ukb"/>
    <w:p>
      <w:pPr>
        <w:pStyle w:val="Bibliography"/>
      </w:pPr>
      <w:r>
        <w:t xml:space="preserve">78.</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20">
        <w:r>
          <w:rPr>
            <w:rStyle w:val="Hyperlink"/>
          </w:rPr>
          <w:t xml:space="preserve">10.1038/s41586-018-0579-z</w:t>
        </w:r>
      </w:hyperlink>
    </w:p>
    <w:bookmarkEnd w:id="221"/>
    <w:bookmarkStart w:id="223" w:name="ref-buniello2025otp"/>
    <w:p>
      <w:pPr>
        <w:pStyle w:val="Bibliography"/>
      </w:pPr>
      <w:r>
        <w:t xml:space="preserve">79.</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22">
        <w:r>
          <w:rPr>
            <w:rStyle w:val="Hyperlink"/>
          </w:rPr>
          <w:t xml:space="preserve">10.1093/nar/gkae1128</w:t>
        </w:r>
      </w:hyperlink>
    </w:p>
    <w:bookmarkEnd w:id="223"/>
    <w:bookmarkStart w:id="225" w:name="ref-mountjoy2021l2g"/>
    <w:p>
      <w:pPr>
        <w:pStyle w:val="Bibliography"/>
      </w:pPr>
      <w:r>
        <w:t xml:space="preserve">80.</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24">
        <w:r>
          <w:rPr>
            <w:rStyle w:val="Hyperlink"/>
          </w:rPr>
          <w:t xml:space="preserve">10.1038/s41588-021-00945-5</w:t>
        </w:r>
      </w:hyperlink>
    </w:p>
    <w:bookmarkEnd w:id="225"/>
    <w:bookmarkStart w:id="227" w:name="ref-hormozdiari2016ecaviar"/>
    <w:p>
      <w:pPr>
        <w:pStyle w:val="Bibliography"/>
      </w:pPr>
      <w:r>
        <w:t xml:space="preserve">81.</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6">
        <w:r>
          <w:rPr>
            <w:rStyle w:val="Hyperlink"/>
          </w:rPr>
          <w:t xml:space="preserve">10.1016/j.ajhg.2016.10.003</w:t>
        </w:r>
      </w:hyperlink>
    </w:p>
    <w:bookmarkEnd w:id="227"/>
    <w:bookmarkStart w:id="229" w:name="ref-liu2019acat"/>
    <w:p>
      <w:pPr>
        <w:pStyle w:val="Bibliography"/>
      </w:pPr>
      <w:r>
        <w:t xml:space="preserve">82.</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8">
        <w:r>
          <w:rPr>
            <w:rStyle w:val="Hyperlink"/>
          </w:rPr>
          <w:t xml:space="preserve">10.1016/j.ajhg.2019.01.002</w:t>
        </w:r>
      </w:hyperlink>
    </w:p>
    <w:bookmarkEnd w:id="229"/>
    <w:bookmarkStart w:id="231" w:name="ref-zhang2014atlas"/>
    <w:p>
      <w:pPr>
        <w:pStyle w:val="Bibliography"/>
      </w:pPr>
      <w:r>
        <w:t xml:space="preserve">83.</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30">
        <w:r>
          <w:rPr>
            <w:rStyle w:val="Hyperlink"/>
          </w:rPr>
          <w:t xml:space="preserve">10.1073/pnas.1408886111</w:t>
        </w:r>
      </w:hyperlink>
    </w:p>
    <w:bookmarkEnd w:id="231"/>
    <w:bookmarkStart w:id="233" w:name="ref-baldarelli2024mgi"/>
    <w:p>
      <w:pPr>
        <w:pStyle w:val="Bibliography"/>
      </w:pPr>
      <w:r>
        <w:t xml:space="preserve">84.</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32">
        <w:r>
          <w:rPr>
            <w:rStyle w:val="Hyperlink"/>
          </w:rPr>
          <w:t xml:space="preserve">10.1093/genetics/iyae031</w:t>
        </w:r>
      </w:hyperlink>
    </w:p>
    <w:bookmarkEnd w:id="233"/>
    <w:bookmarkStart w:id="235" w:name="ref-wucher2023daynight"/>
    <w:p>
      <w:pPr>
        <w:pStyle w:val="Bibliography"/>
      </w:pPr>
      <w:r>
        <w:t xml:space="preserve">85.</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34">
        <w:r>
          <w:rPr>
            <w:rStyle w:val="Hyperlink"/>
          </w:rPr>
          <w:t xml:space="preserve">10.1371/journal.pbio.3001986</w:t>
        </w:r>
      </w:hyperlink>
    </w:p>
    <w:bookmarkEnd w:id="235"/>
    <w:bookmarkStart w:id="237" w:name="ref-hoffmann2022qt"/>
    <w:p>
      <w:pPr>
        <w:pStyle w:val="Bibliography"/>
      </w:pPr>
      <w:r>
        <w:t xml:space="preserve">86.</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6">
        <w:r>
          <w:rPr>
            <w:rStyle w:val="Hyperlink"/>
          </w:rPr>
          <w:t xml:space="preserve">10.1093/genetics/iyac157</w:t>
        </w:r>
      </w:hyperlink>
    </w:p>
    <w:bookmarkEnd w:id="237"/>
    <w:bookmarkStart w:id="239" w:name="ref-giambartolomei2014coloc"/>
    <w:p>
      <w:pPr>
        <w:pStyle w:val="Bibliography"/>
      </w:pPr>
      <w:r>
        <w:t xml:space="preserve">87.</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8">
        <w:r>
          <w:rPr>
            <w:rStyle w:val="Hyperlink"/>
          </w:rPr>
          <w:t xml:space="preserve">10.1371/journal.pgen.1004383</w:t>
        </w:r>
      </w:hyperlink>
    </w:p>
    <w:bookmarkEnd w:id="239"/>
    <w:bookmarkStart w:id="241" w:name="ref-wallace2020priors"/>
    <w:p>
      <w:pPr>
        <w:pStyle w:val="Bibliography"/>
      </w:pPr>
      <w:r>
        <w:t xml:space="preserve">88.</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40">
        <w:r>
          <w:rPr>
            <w:rStyle w:val="Hyperlink"/>
          </w:rPr>
          <w:t xml:space="preserve">10.1371/journal.pgen.1008720</w:t>
        </w:r>
      </w:hyperlink>
    </w:p>
    <w:bookmarkEnd w:id="241"/>
    <w:bookmarkStart w:id="243" w:name="ref-yang2012cojo"/>
    <w:p>
      <w:pPr>
        <w:pStyle w:val="Bibliography"/>
      </w:pPr>
      <w:r>
        <w:t xml:space="preserve">89.</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42">
        <w:r>
          <w:rPr>
            <w:rStyle w:val="Hyperlink"/>
          </w:rPr>
          <w:t xml:space="preserve">10.1038/ng.2213</w:t>
        </w:r>
      </w:hyperlink>
    </w:p>
    <w:bookmarkEnd w:id="243"/>
    <w:bookmarkStart w:id="245" w:name="ref-ansar2019fbxl3"/>
    <w:p>
      <w:pPr>
        <w:pStyle w:val="Bibliography"/>
      </w:pPr>
      <w:r>
        <w:t xml:space="preserve">90.</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4">
        <w:r>
          <w:rPr>
            <w:rStyle w:val="Hyperlink"/>
          </w:rPr>
          <w:t xml:space="preserve">10.1093/hmg/ddy406</w:t>
        </w:r>
      </w:hyperlink>
    </w:p>
    <w:bookmarkEnd w:id="245"/>
    <w:bookmarkStart w:id="247" w:name="ref-anikster2017dnajc12"/>
    <w:p>
      <w:pPr>
        <w:pStyle w:val="Bibliography"/>
      </w:pPr>
      <w:r>
        <w:t xml:space="preserve">91.</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6">
        <w:r>
          <w:rPr>
            <w:rStyle w:val="Hyperlink"/>
          </w:rPr>
          <w:t xml:space="preserve">10.1016/j.ajhg.2017.01.002</w:t>
        </w:r>
      </w:hyperlink>
    </w:p>
    <w:bookmarkEnd w:id="247"/>
    <w:bookmarkStart w:id="249" w:name="ref-rilstone2013vmat2"/>
    <w:p>
      <w:pPr>
        <w:pStyle w:val="Bibliography"/>
      </w:pPr>
      <w:r>
        <w:t xml:space="preserve">92.</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8">
        <w:r>
          <w:rPr>
            <w:rStyle w:val="Hyperlink"/>
          </w:rPr>
          <w:t xml:space="preserve">10.1056/nejmoa1207281</w:t>
        </w:r>
      </w:hyperlink>
    </w:p>
    <w:bookmarkEnd w:id="249"/>
    <w:bookmarkStart w:id="251" w:name="ref-bonnefond2012mtnr1b"/>
    <w:p>
      <w:pPr>
        <w:pStyle w:val="Bibliography"/>
      </w:pPr>
      <w:r>
        <w:t xml:space="preserve">93.</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50">
        <w:r>
          <w:rPr>
            <w:rStyle w:val="Hyperlink"/>
          </w:rPr>
          <w:t xml:space="preserve">10.1038/ng.1053</w:t>
        </w:r>
      </w:hyperlink>
    </w:p>
    <w:bookmarkEnd w:id="251"/>
    <w:bookmarkStart w:id="253" w:name="ref-godinho2007fbxl3"/>
    <w:p>
      <w:pPr>
        <w:pStyle w:val="Bibliography"/>
      </w:pPr>
      <w:r>
        <w:t xml:space="preserve">94.</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52">
        <w:r>
          <w:rPr>
            <w:rStyle w:val="Hyperlink"/>
          </w:rPr>
          <w:t xml:space="preserve">10.1126/science.1141138</w:t>
        </w:r>
      </w:hyperlink>
    </w:p>
    <w:bookmarkEnd w:id="253"/>
    <w:bookmarkStart w:id="255" w:name="ref-siepka2007fbxl3"/>
    <w:p>
      <w:pPr>
        <w:pStyle w:val="Bibliography"/>
      </w:pPr>
      <w:r>
        <w:t xml:space="preserve">95.</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4">
        <w:r>
          <w:rPr>
            <w:rStyle w:val="Hyperlink"/>
          </w:rPr>
          <w:t xml:space="preserve">10.1016/j.cell.2007.04.030</w:t>
        </w:r>
      </w:hyperlink>
    </w:p>
    <w:bookmarkEnd w:id="255"/>
    <w:bookmarkStart w:id="257" w:name="ref-segawa2011drd"/>
    <w:p>
      <w:pPr>
        <w:pStyle w:val="Bibliography"/>
      </w:pPr>
      <w:r>
        <w:t xml:space="preserve">96.</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6">
        <w:r>
          <w:rPr>
            <w:rStyle w:val="Hyperlink"/>
          </w:rPr>
          <w:t xml:space="preserve">10.1016/j.braindev.2010.10.015</w:t>
        </w:r>
      </w:hyperlink>
    </w:p>
    <w:bookmarkEnd w:id="257"/>
    <w:bookmarkStart w:id="259" w:name="ref-ichinose1994gch1"/>
    <w:p>
      <w:pPr>
        <w:pStyle w:val="Bibliography"/>
      </w:pPr>
      <w:r>
        <w:t xml:space="preserve">97.</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8">
        <w:r>
          <w:rPr>
            <w:rStyle w:val="Hyperlink"/>
          </w:rPr>
          <w:t xml:space="preserve">10.1038/ng1194-236</w:t>
        </w:r>
      </w:hyperlink>
    </w:p>
    <w:bookmarkEnd w:id="259"/>
    <w:bookmarkStart w:id="261" w:name="ref-wassenberg2017aadc"/>
    <w:p>
      <w:pPr>
        <w:pStyle w:val="Bibliography"/>
      </w:pPr>
      <w:r>
        <w:t xml:space="preserve">98.</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60">
        <w:r>
          <w:rPr>
            <w:rStyle w:val="Hyperlink"/>
          </w:rPr>
          <w:t xml:space="preserve">10.1186/s13023-016-0522-z</w:t>
        </w:r>
      </w:hyperlink>
    </w:p>
    <w:bookmarkEnd w:id="261"/>
    <w:bookmarkStart w:id="263" w:name="ref-schwartz2001genotype"/>
    <w:p>
      <w:pPr>
        <w:pStyle w:val="Bibliography"/>
      </w:pPr>
      <w:r>
        <w:t xml:space="preserve">99.</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62">
        <w:r>
          <w:rPr>
            <w:rStyle w:val="Hyperlink"/>
          </w:rPr>
          <w:t xml:space="preserve">10.1161/01.cir.103.1.89</w:t>
        </w:r>
      </w:hyperlink>
    </w:p>
    <w:bookmarkEnd w:id="263"/>
    <w:bookmarkStart w:id="265" w:name="ref-takigawa2012lqts"/>
    <w:p>
      <w:pPr>
        <w:pStyle w:val="Bibliography"/>
      </w:pPr>
      <w:r>
        <w:t xml:space="preserve">100.</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4">
        <w:r>
          <w:rPr>
            <w:rStyle w:val="Hyperlink"/>
          </w:rPr>
          <w:t xml:space="preserve">10.1253/circj.cj-12-0213</w:t>
        </w:r>
      </w:hyperlink>
    </w:p>
    <w:bookmarkEnd w:id="265"/>
    <w:bookmarkEnd w:id="266"/>
    <w:bookmarkEnd w:id="267"/>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82" Target="https://doi.org/10.1001/jamapsychiatry.2021.0959" TargetMode="External" /><Relationship Type="http://schemas.openxmlformats.org/officeDocument/2006/relationships/hyperlink" Id="rId200" Target="https://doi.org/10.1007/s10875-022-01289-3" TargetMode="External" /><Relationship Type="http://schemas.openxmlformats.org/officeDocument/2006/relationships/hyperlink" Id="rId226" Target="https://doi.org/10.1016/j.ajhg.2016.10.003" TargetMode="External" /><Relationship Type="http://schemas.openxmlformats.org/officeDocument/2006/relationships/hyperlink" Id="rId246" Target="https://doi.org/10.1016/j.ajhg.2017.01.002" TargetMode="External" /><Relationship Type="http://schemas.openxmlformats.org/officeDocument/2006/relationships/hyperlink" Id="rId198"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8" Target="https://doi.org/10.1016/j.ajhg.2019.01.002" TargetMode="External" /><Relationship Type="http://schemas.openxmlformats.org/officeDocument/2006/relationships/hyperlink" Id="rId160" Target="https://doi.org/10.1016/j.arr.2021.101424" TargetMode="External" /><Relationship Type="http://schemas.openxmlformats.org/officeDocument/2006/relationships/hyperlink" Id="rId170" Target="https://doi.org/10.1016/j.bbi.2011.04.011" TargetMode="External" /><Relationship Type="http://schemas.openxmlformats.org/officeDocument/2006/relationships/hyperlink" Id="rId256" Target="https://doi.org/10.1016/j.braindev.2010.10.015" TargetMode="External" /><Relationship Type="http://schemas.openxmlformats.org/officeDocument/2006/relationships/hyperlink" Id="rId254"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4" Target="https://doi.org/10.1016/j.hrthm.2015.02.019" TargetMode="External" /><Relationship Type="http://schemas.openxmlformats.org/officeDocument/2006/relationships/hyperlink" Id="rId166"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10" Target="https://doi.org/10.1016/j.ymgmr.2016.09.006" TargetMode="External" /><Relationship Type="http://schemas.openxmlformats.org/officeDocument/2006/relationships/hyperlink" Id="rId208"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2" Target="https://doi.org/10.1038/nature10852" TargetMode="External" /><Relationship Type="http://schemas.openxmlformats.org/officeDocument/2006/relationships/hyperlink" Id="rId186"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50" Target="https://doi.org/10.1038/ng.1053" TargetMode="External" /><Relationship Type="http://schemas.openxmlformats.org/officeDocument/2006/relationships/hyperlink" Id="rId242" Target="https://doi.org/10.1038/ng.2213" TargetMode="External" /><Relationship Type="http://schemas.openxmlformats.org/officeDocument/2006/relationships/hyperlink" Id="rId176" Target="https://doi.org/10.1038/ng.3014" TargetMode="External" /><Relationship Type="http://schemas.openxmlformats.org/officeDocument/2006/relationships/hyperlink" Id="rId258" Target="https://doi.org/10.1038/ng1194-236" TargetMode="External" /><Relationship Type="http://schemas.openxmlformats.org/officeDocument/2006/relationships/hyperlink" Id="rId158"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8" Target="https://doi.org/10.1038/s41577-018-0008-4" TargetMode="External" /><Relationship Type="http://schemas.openxmlformats.org/officeDocument/2006/relationships/hyperlink" Id="rId220" Target="https://doi.org/10.1038/s41586-018-0579-z" TargetMode="External" /><Relationship Type="http://schemas.openxmlformats.org/officeDocument/2006/relationships/hyperlink" Id="rId204"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24" Target="https://doi.org/10.1038/s41588-021-00945-5" TargetMode="External" /><Relationship Type="http://schemas.openxmlformats.org/officeDocument/2006/relationships/hyperlink" Id="rId148"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2"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80"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8"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30"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14" Target="https://doi.org/10.1093/bioinformatics/btu655" TargetMode="External" /><Relationship Type="http://schemas.openxmlformats.org/officeDocument/2006/relationships/hyperlink" Id="rId236" Target="https://doi.org/10.1093/genetics/iyac157" TargetMode="External" /><Relationship Type="http://schemas.openxmlformats.org/officeDocument/2006/relationships/hyperlink" Id="rId202" Target="https://doi.org/10.1093/genetics/iyad031" TargetMode="External" /><Relationship Type="http://schemas.openxmlformats.org/officeDocument/2006/relationships/hyperlink" Id="rId232" Target="https://doi.org/10.1093/genetics/iyae031" TargetMode="External" /><Relationship Type="http://schemas.openxmlformats.org/officeDocument/2006/relationships/hyperlink" Id="rId154" Target="https://doi.org/10.1093/gerona/54.6.m309" TargetMode="External" /><Relationship Type="http://schemas.openxmlformats.org/officeDocument/2006/relationships/hyperlink" Id="rId244" Target="https://doi.org/10.1093/hmg/ddy406" TargetMode="External" /><Relationship Type="http://schemas.openxmlformats.org/officeDocument/2006/relationships/hyperlink" Id="rId190" Target="https://doi.org/10.1093/nar/gkac888" TargetMode="External" /><Relationship Type="http://schemas.openxmlformats.org/officeDocument/2006/relationships/hyperlink" Id="rId194" Target="https://doi.org/10.1093/nar/gkad1005" TargetMode="External" /><Relationship Type="http://schemas.openxmlformats.org/officeDocument/2006/relationships/hyperlink" Id="rId188" Target="https://doi.org/10.1093/nar/gkae1078" TargetMode="External" /><Relationship Type="http://schemas.openxmlformats.org/officeDocument/2006/relationships/hyperlink" Id="rId222" Target="https://doi.org/10.1093/nar/gkae1128" TargetMode="External" /><Relationship Type="http://schemas.openxmlformats.org/officeDocument/2006/relationships/hyperlink" Id="rId192" Target="https://doi.org/10.1093/nar/gky1151" TargetMode="External" /><Relationship Type="http://schemas.openxmlformats.org/officeDocument/2006/relationships/hyperlink" Id="rId174" Target="https://doi.org/10.1093/sleep/21.6.553" TargetMode="External" /><Relationship Type="http://schemas.openxmlformats.org/officeDocument/2006/relationships/hyperlink" Id="rId216"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52"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62" Target="https://doi.org/10.1161/01.cir.103.1.89" TargetMode="External" /><Relationship Type="http://schemas.openxmlformats.org/officeDocument/2006/relationships/hyperlink" Id="rId172" Target="https://doi.org/10.1172/JCI105893" TargetMode="External" /><Relationship Type="http://schemas.openxmlformats.org/officeDocument/2006/relationships/hyperlink" Id="rId260" Target="https://doi.org/10.1186/s13023-016-0522-z" TargetMode="External" /><Relationship Type="http://schemas.openxmlformats.org/officeDocument/2006/relationships/hyperlink" Id="rId212" Target="https://doi.org/10.1186/s13023-020-01379-8" TargetMode="External" /><Relationship Type="http://schemas.openxmlformats.org/officeDocument/2006/relationships/hyperlink" Id="rId150"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4" Target="https://doi.org/10.1186/s13742-015-0047-8" TargetMode="External" /><Relationship Type="http://schemas.openxmlformats.org/officeDocument/2006/relationships/hyperlink" Id="rId264"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34" Target="https://doi.org/10.1371/journal.pbio.3001986" TargetMode="External" /><Relationship Type="http://schemas.openxmlformats.org/officeDocument/2006/relationships/hyperlink" Id="rId218" Target="https://doi.org/10.1371/journal.pcbi.1004219" TargetMode="External" /><Relationship Type="http://schemas.openxmlformats.org/officeDocument/2006/relationships/hyperlink" Id="rId152" Target="https://doi.org/10.1371/journal.pcbi.1009935" TargetMode="External" /><Relationship Type="http://schemas.openxmlformats.org/officeDocument/2006/relationships/hyperlink" Id="rId238"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40"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8" Target="https://doi.org/10.1371/journal.pmed.1000022" TargetMode="External" /><Relationship Type="http://schemas.openxmlformats.org/officeDocument/2006/relationships/hyperlink" Id="rId196" Target="https://doi.org/10.2196/84553" TargetMode="External" /><Relationship Type="http://schemas.openxmlformats.org/officeDocument/2006/relationships/hyperlink" Id="rId206" Target="https://doi.org/10.64898/2026.03.23.26349081" TargetMode="External" /><Relationship Type="http://schemas.openxmlformats.org/officeDocument/2006/relationships/hyperlink" Id="rId110" Target="https://doi.org/10.7554/eLife.16695" TargetMode="External" /><Relationship Type="http://schemas.openxmlformats.org/officeDocument/2006/relationships/hyperlink" Id="rId156"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1/jamapsychiatry.2021.0959" TargetMode="External" /><Relationship Type="http://schemas.openxmlformats.org/officeDocument/2006/relationships/hyperlink" Id="rId200" Target="https://doi.org/10.1007/s10875-022-01289-3" TargetMode="External" /><Relationship Type="http://schemas.openxmlformats.org/officeDocument/2006/relationships/hyperlink" Id="rId226" Target="https://doi.org/10.1016/j.ajhg.2016.10.003" TargetMode="External" /><Relationship Type="http://schemas.openxmlformats.org/officeDocument/2006/relationships/hyperlink" Id="rId246" Target="https://doi.org/10.1016/j.ajhg.2017.01.002" TargetMode="External" /><Relationship Type="http://schemas.openxmlformats.org/officeDocument/2006/relationships/hyperlink" Id="rId198" Target="https://doi.org/10.1016/j.ajhg.2017.04.015" TargetMode="External" /><Relationship Type="http://schemas.openxmlformats.org/officeDocument/2006/relationships/hyperlink" Id="rId140" Target="https://doi.org/10.1016/j.ajhg.2018.08.017" TargetMode="External" /><Relationship Type="http://schemas.openxmlformats.org/officeDocument/2006/relationships/hyperlink" Id="rId228" Target="https://doi.org/10.1016/j.ajhg.2019.01.002" TargetMode="External" /><Relationship Type="http://schemas.openxmlformats.org/officeDocument/2006/relationships/hyperlink" Id="rId160" Target="https://doi.org/10.1016/j.arr.2021.101424" TargetMode="External" /><Relationship Type="http://schemas.openxmlformats.org/officeDocument/2006/relationships/hyperlink" Id="rId170" Target="https://doi.org/10.1016/j.bbi.2011.04.011" TargetMode="External" /><Relationship Type="http://schemas.openxmlformats.org/officeDocument/2006/relationships/hyperlink" Id="rId256" Target="https://doi.org/10.1016/j.braindev.2010.10.015" TargetMode="External" /><Relationship Type="http://schemas.openxmlformats.org/officeDocument/2006/relationships/hyperlink" Id="rId254" Target="https://doi.org/10.1016/j.cell.2007.04.030" TargetMode="External" /><Relationship Type="http://schemas.openxmlformats.org/officeDocument/2006/relationships/hyperlink" Id="rId138" Target="https://doi.org/10.1016/j.cell.2013.08.030" TargetMode="External" /><Relationship Type="http://schemas.openxmlformats.org/officeDocument/2006/relationships/hyperlink" Id="rId114" Target="https://doi.org/10.1016/j.cell.2017.03.027" TargetMode="External" /><Relationship Type="http://schemas.openxmlformats.org/officeDocument/2006/relationships/hyperlink" Id="rId66" Target="https://doi.org/10.1016/j.cmet.2019.06.019" TargetMode="External" /><Relationship Type="http://schemas.openxmlformats.org/officeDocument/2006/relationships/hyperlink" Id="rId78" Target="https://doi.org/10.1016/j.cub.2016.04.011" TargetMode="External" /><Relationship Type="http://schemas.openxmlformats.org/officeDocument/2006/relationships/hyperlink" Id="rId122" Target="https://doi.org/10.1016/j.cub.2020.09.071" TargetMode="External" /><Relationship Type="http://schemas.openxmlformats.org/officeDocument/2006/relationships/hyperlink" Id="rId164" Target="https://doi.org/10.1016/j.hrthm.2015.02.019" TargetMode="External" /><Relationship Type="http://schemas.openxmlformats.org/officeDocument/2006/relationships/hyperlink" Id="rId166" Target="https://doi.org/10.1016/j.hrthm.2018.08.026" TargetMode="External" /><Relationship Type="http://schemas.openxmlformats.org/officeDocument/2006/relationships/hyperlink" Id="rId118" Target="https://doi.org/10.1016/j.neuron.2019.07.026" TargetMode="External" /><Relationship Type="http://schemas.openxmlformats.org/officeDocument/2006/relationships/hyperlink" Id="rId76" Target="https://doi.org/10.1016/j.smrv.2007.07.005" TargetMode="External" /><Relationship Type="http://schemas.openxmlformats.org/officeDocument/2006/relationships/hyperlink" Id="rId210" Target="https://doi.org/10.1016/j.ymgmr.2016.09.006" TargetMode="External" /><Relationship Type="http://schemas.openxmlformats.org/officeDocument/2006/relationships/hyperlink" Id="rId208" Target="https://doi.org/10.1016/s1474-4422(11)70141-7" TargetMode="External" /><Relationship Type="http://schemas.openxmlformats.org/officeDocument/2006/relationships/hyperlink" Id="rId102" Target="https://doi.org/10.1038/12502" TargetMode="External" /><Relationship Type="http://schemas.openxmlformats.org/officeDocument/2006/relationships/hyperlink" Id="rId106" Target="https://doi.org/10.1038/nature03453" TargetMode="External" /><Relationship Type="http://schemas.openxmlformats.org/officeDocument/2006/relationships/hyperlink" Id="rId162" Target="https://doi.org/10.1038/nature10852" TargetMode="External" /><Relationship Type="http://schemas.openxmlformats.org/officeDocument/2006/relationships/hyperlink" Id="rId186" Target="https://doi.org/10.1038/nature15393" TargetMode="External" /><Relationship Type="http://schemas.openxmlformats.org/officeDocument/2006/relationships/hyperlink" Id="rId88" Target="https://doi.org/10.1038/ncomms10448" TargetMode="External" /><Relationship Type="http://schemas.openxmlformats.org/officeDocument/2006/relationships/hyperlink" Id="rId90" Target="https://doi.org/10.1038/ncomms10889" TargetMode="External" /><Relationship Type="http://schemas.openxmlformats.org/officeDocument/2006/relationships/hyperlink" Id="rId250" Target="https://doi.org/10.1038/ng.1053" TargetMode="External" /><Relationship Type="http://schemas.openxmlformats.org/officeDocument/2006/relationships/hyperlink" Id="rId242" Target="https://doi.org/10.1038/ng.2213" TargetMode="External" /><Relationship Type="http://schemas.openxmlformats.org/officeDocument/2006/relationships/hyperlink" Id="rId176" Target="https://doi.org/10.1038/ng.3014" TargetMode="External" /><Relationship Type="http://schemas.openxmlformats.org/officeDocument/2006/relationships/hyperlink" Id="rId258" Target="https://doi.org/10.1038/ng1194-236" TargetMode="External" /><Relationship Type="http://schemas.openxmlformats.org/officeDocument/2006/relationships/hyperlink" Id="rId158" Target="https://doi.org/10.1038/nmeth.2111" TargetMode="External" /><Relationship Type="http://schemas.openxmlformats.org/officeDocument/2006/relationships/hyperlink" Id="rId84" Target="https://doi.org/10.1038/s41380-021-01157-3" TargetMode="External" /><Relationship Type="http://schemas.openxmlformats.org/officeDocument/2006/relationships/hyperlink" Id="rId124" Target="https://doi.org/10.1038/s41386-019-0476-7" TargetMode="External" /><Relationship Type="http://schemas.openxmlformats.org/officeDocument/2006/relationships/hyperlink" Id="rId94" Target="https://doi.org/10.1038/s41467-018-08259-7" TargetMode="External" /><Relationship Type="http://schemas.openxmlformats.org/officeDocument/2006/relationships/hyperlink" Id="rId100" Target="https://doi.org/10.1038/s41467-019-09576-1" TargetMode="External" /><Relationship Type="http://schemas.openxmlformats.org/officeDocument/2006/relationships/hyperlink" Id="rId146" Target="https://doi.org/10.1038/s41467-026-69208-3" TargetMode="External" /><Relationship Type="http://schemas.openxmlformats.org/officeDocument/2006/relationships/hyperlink" Id="rId136" Target="https://doi.org/10.1038/s41562-023-01785-5" TargetMode="External" /><Relationship Type="http://schemas.openxmlformats.org/officeDocument/2006/relationships/hyperlink" Id="rId74" Target="https://doi.org/10.1038/s41573-020-00109-w" TargetMode="External" /><Relationship Type="http://schemas.openxmlformats.org/officeDocument/2006/relationships/hyperlink" Id="rId98" Target="https://doi.org/10.1038/s41576-022-00519-z" TargetMode="External" /><Relationship Type="http://schemas.openxmlformats.org/officeDocument/2006/relationships/hyperlink" Id="rId168" Target="https://doi.org/10.1038/s41577-018-0008-4" TargetMode="External" /><Relationship Type="http://schemas.openxmlformats.org/officeDocument/2006/relationships/hyperlink" Id="rId220" Target="https://doi.org/10.1038/s41586-018-0579-z" TargetMode="External" /><Relationship Type="http://schemas.openxmlformats.org/officeDocument/2006/relationships/hyperlink" Id="rId204" Target="https://doi.org/10.1038/s41586-020-2308-7" TargetMode="External" /><Relationship Type="http://schemas.openxmlformats.org/officeDocument/2006/relationships/hyperlink" Id="rId134" Target="https://doi.org/10.1038/s41586-021-04103-z" TargetMode="External" /><Relationship Type="http://schemas.openxmlformats.org/officeDocument/2006/relationships/hyperlink" Id="rId224" Target="https://doi.org/10.1038/s41588-021-00945-5" TargetMode="External" /><Relationship Type="http://schemas.openxmlformats.org/officeDocument/2006/relationships/hyperlink" Id="rId148" Target="https://doi.org/10.1038/s41588-023-01529-1" TargetMode="External" /><Relationship Type="http://schemas.openxmlformats.org/officeDocument/2006/relationships/hyperlink" Id="rId96" Target="https://doi.org/10.1038/s41588-025-02335-7" TargetMode="External" /><Relationship Type="http://schemas.openxmlformats.org/officeDocument/2006/relationships/hyperlink" Id="rId182" Target="https://doi.org/10.1038/s41597-022-01710-x" TargetMode="External" /><Relationship Type="http://schemas.openxmlformats.org/officeDocument/2006/relationships/hyperlink" Id="rId144" Target="https://doi.org/10.1038/s44319-026-00733-4" TargetMode="External" /><Relationship Type="http://schemas.openxmlformats.org/officeDocument/2006/relationships/hyperlink" Id="rId180" Target="https://doi.org/10.1038/sdata.2016.18" TargetMode="External" /><Relationship Type="http://schemas.openxmlformats.org/officeDocument/2006/relationships/hyperlink" Id="rId68" Target="https://doi.org/10.1056/NEJMra1802337" TargetMode="External" /><Relationship Type="http://schemas.openxmlformats.org/officeDocument/2006/relationships/hyperlink" Id="rId248" Target="https://doi.org/10.1056/nejmoa1207281" TargetMode="External" /><Relationship Type="http://schemas.openxmlformats.org/officeDocument/2006/relationships/hyperlink" Id="rId130" Target="https://doi.org/10.1067/mpd.2001.115018" TargetMode="External" /><Relationship Type="http://schemas.openxmlformats.org/officeDocument/2006/relationships/hyperlink" Id="rId230" Target="https://doi.org/10.1073/pnas.1408886111" TargetMode="External" /><Relationship Type="http://schemas.openxmlformats.org/officeDocument/2006/relationships/hyperlink" Id="rId108" Target="https://doi.org/10.1073/pnas.1600039113" TargetMode="External" /><Relationship Type="http://schemas.openxmlformats.org/officeDocument/2006/relationships/hyperlink" Id="rId112" Target="https://doi.org/10.1073/pnas.1819110116" TargetMode="External" /><Relationship Type="http://schemas.openxmlformats.org/officeDocument/2006/relationships/hyperlink" Id="rId80" Target="https://doi.org/10.1080/07420528.2018.1454458" TargetMode="External" /><Relationship Type="http://schemas.openxmlformats.org/officeDocument/2006/relationships/hyperlink" Id="rId142" Target="https://doi.org/10.1093/bioinformatics/btaa1096" TargetMode="External" /><Relationship Type="http://schemas.openxmlformats.org/officeDocument/2006/relationships/hyperlink" Id="rId214" Target="https://doi.org/10.1093/bioinformatics/btu655" TargetMode="External" /><Relationship Type="http://schemas.openxmlformats.org/officeDocument/2006/relationships/hyperlink" Id="rId236" Target="https://doi.org/10.1093/genetics/iyac157" TargetMode="External" /><Relationship Type="http://schemas.openxmlformats.org/officeDocument/2006/relationships/hyperlink" Id="rId202" Target="https://doi.org/10.1093/genetics/iyad031" TargetMode="External" /><Relationship Type="http://schemas.openxmlformats.org/officeDocument/2006/relationships/hyperlink" Id="rId232" Target="https://doi.org/10.1093/genetics/iyae031" TargetMode="External" /><Relationship Type="http://schemas.openxmlformats.org/officeDocument/2006/relationships/hyperlink" Id="rId154" Target="https://doi.org/10.1093/gerona/54.6.m309" TargetMode="External" /><Relationship Type="http://schemas.openxmlformats.org/officeDocument/2006/relationships/hyperlink" Id="rId244" Target="https://doi.org/10.1093/hmg/ddy406" TargetMode="External" /><Relationship Type="http://schemas.openxmlformats.org/officeDocument/2006/relationships/hyperlink" Id="rId190" Target="https://doi.org/10.1093/nar/gkac888" TargetMode="External" /><Relationship Type="http://schemas.openxmlformats.org/officeDocument/2006/relationships/hyperlink" Id="rId194" Target="https://doi.org/10.1093/nar/gkad1005" TargetMode="External" /><Relationship Type="http://schemas.openxmlformats.org/officeDocument/2006/relationships/hyperlink" Id="rId188" Target="https://doi.org/10.1093/nar/gkae1078" TargetMode="External" /><Relationship Type="http://schemas.openxmlformats.org/officeDocument/2006/relationships/hyperlink" Id="rId222" Target="https://doi.org/10.1093/nar/gkae1128" TargetMode="External" /><Relationship Type="http://schemas.openxmlformats.org/officeDocument/2006/relationships/hyperlink" Id="rId192" Target="https://doi.org/10.1093/nar/gky1151" TargetMode="External" /><Relationship Type="http://schemas.openxmlformats.org/officeDocument/2006/relationships/hyperlink" Id="rId174" Target="https://doi.org/10.1093/sleep/21.6.553" TargetMode="External" /><Relationship Type="http://schemas.openxmlformats.org/officeDocument/2006/relationships/hyperlink" Id="rId216" Target="https://doi.org/10.1111/j.2517-6161.1995.tb02031.x" TargetMode="External" /><Relationship Type="http://schemas.openxmlformats.org/officeDocument/2006/relationships/hyperlink" Id="rId104" Target="https://doi.org/10.1126/science.1057499" TargetMode="External" /><Relationship Type="http://schemas.openxmlformats.org/officeDocument/2006/relationships/hyperlink" Id="rId252" Target="https://doi.org/10.1126/science.1141138" TargetMode="External" /><Relationship Type="http://schemas.openxmlformats.org/officeDocument/2006/relationships/hyperlink" Id="rId116" Target="https://doi.org/10.1126/science.1174443" TargetMode="External" /><Relationship Type="http://schemas.openxmlformats.org/officeDocument/2006/relationships/hyperlink" Id="rId72" Target="https://doi.org/10.1126/science.aax7621" TargetMode="External" /><Relationship Type="http://schemas.openxmlformats.org/officeDocument/2006/relationships/hyperlink" Id="rId120" Target="https://doi.org/10.1126/scitranslmed.aax2014" TargetMode="External" /><Relationship Type="http://schemas.openxmlformats.org/officeDocument/2006/relationships/hyperlink" Id="rId86" Target="https://doi.org/10.1136/bmj.l2327" TargetMode="External" /><Relationship Type="http://schemas.openxmlformats.org/officeDocument/2006/relationships/hyperlink" Id="rId128" Target="https://doi.org/10.1136/jmg.37.6.428" TargetMode="External" /><Relationship Type="http://schemas.openxmlformats.org/officeDocument/2006/relationships/hyperlink" Id="rId262" Target="https://doi.org/10.1161/01.cir.103.1.89" TargetMode="External" /><Relationship Type="http://schemas.openxmlformats.org/officeDocument/2006/relationships/hyperlink" Id="rId172" Target="https://doi.org/10.1172/JCI105893" TargetMode="External" /><Relationship Type="http://schemas.openxmlformats.org/officeDocument/2006/relationships/hyperlink" Id="rId260" Target="https://doi.org/10.1186/s13023-016-0522-z" TargetMode="External" /><Relationship Type="http://schemas.openxmlformats.org/officeDocument/2006/relationships/hyperlink" Id="rId212" Target="https://doi.org/10.1186/s13023-020-01379-8" TargetMode="External" /><Relationship Type="http://schemas.openxmlformats.org/officeDocument/2006/relationships/hyperlink" Id="rId150" Target="https://doi.org/10.1186/s13059-015-0761-7" TargetMode="External" /><Relationship Type="http://schemas.openxmlformats.org/officeDocument/2006/relationships/hyperlink" Id="rId126" Target="https://doi.org/10.1186/s13229-021-00426-w" TargetMode="External" /><Relationship Type="http://schemas.openxmlformats.org/officeDocument/2006/relationships/hyperlink" Id="rId184" Target="https://doi.org/10.1186/s13742-015-0047-8" TargetMode="External" /><Relationship Type="http://schemas.openxmlformats.org/officeDocument/2006/relationships/hyperlink" Id="rId264" Target="https://doi.org/10.1253/circj.cj-12-0213" TargetMode="External" /><Relationship Type="http://schemas.openxmlformats.org/officeDocument/2006/relationships/hyperlink" Id="rId70" Target="https://doi.org/10.1371/journal.pbio.3001567" TargetMode="External" /><Relationship Type="http://schemas.openxmlformats.org/officeDocument/2006/relationships/hyperlink" Id="rId234" Target="https://doi.org/10.1371/journal.pbio.3001986" TargetMode="External" /><Relationship Type="http://schemas.openxmlformats.org/officeDocument/2006/relationships/hyperlink" Id="rId218" Target="https://doi.org/10.1371/journal.pcbi.1004219" TargetMode="External" /><Relationship Type="http://schemas.openxmlformats.org/officeDocument/2006/relationships/hyperlink" Id="rId152" Target="https://doi.org/10.1371/journal.pcbi.1009935" TargetMode="External" /><Relationship Type="http://schemas.openxmlformats.org/officeDocument/2006/relationships/hyperlink" Id="rId238" Target="https://doi.org/10.1371/journal.pgen.1004383" TargetMode="External" /><Relationship Type="http://schemas.openxmlformats.org/officeDocument/2006/relationships/hyperlink" Id="rId92" Target="https://doi.org/10.1371/journal.pgen.1006125" TargetMode="External" /><Relationship Type="http://schemas.openxmlformats.org/officeDocument/2006/relationships/hyperlink" Id="rId240" Target="https://doi.org/10.1371/journal.pgen.1008720" TargetMode="External" /><Relationship Type="http://schemas.openxmlformats.org/officeDocument/2006/relationships/hyperlink" Id="rId132" Target="https://doi.org/10.1371/journal.pgen.1010356" TargetMode="External" /><Relationship Type="http://schemas.openxmlformats.org/officeDocument/2006/relationships/hyperlink" Id="rId178" Target="https://doi.org/10.1371/journal.pmed.1000022" TargetMode="External" /><Relationship Type="http://schemas.openxmlformats.org/officeDocument/2006/relationships/hyperlink" Id="rId196" Target="https://doi.org/10.2196/84553" TargetMode="External" /><Relationship Type="http://schemas.openxmlformats.org/officeDocument/2006/relationships/hyperlink" Id="rId206" Target="https://doi.org/10.64898/2026.03.23.26349081" TargetMode="External" /><Relationship Type="http://schemas.openxmlformats.org/officeDocument/2006/relationships/hyperlink" Id="rId110" Target="https://doi.org/10.7554/eLife.16695" TargetMode="External" /><Relationship Type="http://schemas.openxmlformats.org/officeDocument/2006/relationships/hyperlink" Id="rId156"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2026-10-30T19:14:34Z</dcterms:created>
  <dcterms:modified xsi:type="dcterms:W3CDTF">2026-10-30T19:14:34Z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