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b/>
          <w:bCs/>
          <w:caps/>
          <w:color w:val="0F6E5D"/>
          <w:sz w:val="20"/>
          <w:szCs w:val="20"/>
        </w:rPr>
        <w:t xml:space="preserve">NEXCLUBV2 — INTERNAL VERIFICATION MEMO</w:t>
      </w:r>
    </w:p>
    <w:p>
      <w:pPr>
        <w:spacing w:after="260"/>
      </w:pPr>
      <w:r>
        <w:rPr>
          <w:rFonts w:ascii="Georgia" w:cs="Georgia" w:eastAsia="Georgia" w:hAnsi="Georgia"/>
          <w:b/>
          <w:bCs/>
          <w:color w:val="14181F"/>
          <w:sz w:val="56"/>
          <w:szCs w:val="56"/>
        </w:rPr>
        <w:t xml:space="preserve">New Functionality Since V1</w:t>
      </w:r>
    </w:p>
    <w:p>
      <w:pPr>
        <w:spacing w:after="500"/>
      </w:pPr>
      <w:r>
        <w:rPr>
          <w:color w:val="5B6672"/>
          <w:sz w:val="24"/>
          <w:szCs w:val="24"/>
        </w:rPr>
        <w:t xml:space="preserve">Nine additions found by diffing every file against nexclub (V1). Each one below was exercised against the running dev instance with a real seeded account — not just read from source — via an authenticated browser session, direct API calls, or the CLI script itself.</w:t>
      </w:r>
    </w:p>
    <w:tbl>
      <w:tblPr>
        <w:tblW w:type="pct" w:w="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2%"/>
            <w:tcMar>
              <w:top w:type="dxa" w:w="60"/>
              <w:bottom w:type="dxa" w:w="60"/>
            </w:tcMar>
          </w:tcPr>
          <w:p>
            <w:r>
              <w:rPr>
                <w:b/>
                <w:bCs/>
                <w:color w:val="5B6672"/>
                <w:sz w:val="16"/>
                <w:szCs w:val="16"/>
              </w:rPr>
              <w:t xml:space="preserve">REVIEWED</w:t>
            </w:r>
          </w:p>
        </w:tc>
        <w:tc>
          <w:tcPr>
            <w:tcW w:type="pct" w:w="68%"/>
            <w:tcMar>
              <w:top w:type="dxa" w:w="60"/>
              <w:bottom w:type="dxa" w:w="60"/>
            </w:tcMar>
          </w:tcPr>
          <w:p>
            <w:r>
              <w:rPr>
                <w:rFonts w:ascii="Consolas" w:cs="Consolas" w:eastAsia="Consolas" w:hAnsi="Consolas"/>
                <w:color w:val="14181F"/>
                <w:sz w:val="20"/>
                <w:szCs w:val="20"/>
              </w:rPr>
              <w:t xml:space="preserve">22 July 2026</w:t>
            </w:r>
          </w:p>
        </w:tc>
      </w:tr>
      <w:tr>
        <w:tc>
          <w:tcPr>
            <w:tcW w:type="pct" w:w="32%"/>
            <w:tcMar>
              <w:top w:type="dxa" w:w="60"/>
              <w:bottom w:type="dxa" w:w="60"/>
            </w:tcMar>
          </w:tcPr>
          <w:p>
            <w:r>
              <w:rPr>
                <w:b/>
                <w:bCs/>
                <w:color w:val="5B6672"/>
                <w:sz w:val="16"/>
                <w:szCs w:val="16"/>
              </w:rPr>
              <w:t xml:space="preserve">ENVIRONMENT</w:t>
            </w:r>
          </w:p>
        </w:tc>
        <w:tc>
          <w:tcPr>
            <w:tcW w:type="pct" w:w="68%"/>
            <w:tcMar>
              <w:top w:type="dxa" w:w="60"/>
              <w:bottom w:type="dxa" w:w="60"/>
            </w:tcMar>
          </w:tcPr>
          <w:p>
            <w:r>
              <w:rPr>
                <w:rFonts w:ascii="Consolas" w:cs="Consolas" w:eastAsia="Consolas" w:hAnsi="Consolas"/>
                <w:color w:val="14181F"/>
                <w:sz w:val="20"/>
                <w:szCs w:val="20"/>
              </w:rPr>
              <w:t xml:space="preserve">nexclubV2 dev · localhost:3010</w:t>
            </w:r>
          </w:p>
        </w:tc>
      </w:tr>
      <w:tr>
        <w:tc>
          <w:tcPr>
            <w:tcW w:type="pct" w:w="32%"/>
            <w:tcMar>
              <w:top w:type="dxa" w:w="60"/>
              <w:bottom w:type="dxa" w:w="60"/>
            </w:tcMar>
          </w:tcPr>
          <w:p>
            <w:r>
              <w:rPr>
                <w:b/>
                <w:bCs/>
                <w:color w:val="5B6672"/>
                <w:sz w:val="16"/>
                <w:szCs w:val="16"/>
              </w:rPr>
              <w:t xml:space="preserve">DATABASE</w:t>
            </w:r>
          </w:p>
        </w:tc>
        <w:tc>
          <w:tcPr>
            <w:tcW w:type="pct" w:w="68%"/>
            <w:tcMar>
              <w:top w:type="dxa" w:w="60"/>
              <w:bottom w:type="dxa" w:w="60"/>
            </w:tcMar>
          </w:tcPr>
          <w:p>
            <w:r>
              <w:rPr>
                <w:rFonts w:ascii="Consolas" w:cs="Consolas" w:eastAsia="Consolas" w:hAnsi="Consolas"/>
                <w:color w:val="14181F"/>
                <w:sz w:val="20"/>
                <w:szCs w:val="20"/>
              </w:rPr>
              <w:t xml:space="preserve">Neon Postgres · seeded demo org</w:t>
            </w:r>
          </w:p>
        </w:tc>
      </w:tr>
      <w:tr>
        <w:tc>
          <w:tcPr>
            <w:tcW w:type="pct" w:w="32%"/>
            <w:tcMar>
              <w:top w:type="dxa" w:w="60"/>
              <w:bottom w:type="dxa" w:w="60"/>
            </w:tcMar>
          </w:tcPr>
          <w:p>
            <w:r>
              <w:rPr>
                <w:b/>
                <w:bCs/>
                <w:color w:val="5B6672"/>
                <w:sz w:val="16"/>
                <w:szCs w:val="16"/>
              </w:rPr>
              <w:t xml:space="preserve">VERIFICATION</w:t>
            </w:r>
          </w:p>
        </w:tc>
        <w:tc>
          <w:tcPr>
            <w:tcW w:type="pct" w:w="68%"/>
            <w:tcMar>
              <w:top w:type="dxa" w:w="60"/>
              <w:bottom w:type="dxa" w:w="60"/>
            </w:tcMar>
          </w:tcPr>
          <w:p>
            <w:r>
              <w:rPr>
                <w:rFonts w:ascii="Consolas" w:cs="Consolas" w:eastAsia="Consolas" w:hAnsi="Consolas"/>
                <w:color w:val="14181F"/>
                <w:sz w:val="20"/>
                <w:szCs w:val="20"/>
              </w:rPr>
              <w:t xml:space="preserve">Playwright session + API + CLI</w:t>
            </w:r>
          </w:p>
        </w:tc>
      </w:tr>
    </w:tbl>
    <w:p>
      <w:r>
        <w:br w:type="page"/>
      </w:r>
    </w:p>
    <w:p>
      <w:pPr>
        <w:pStyle w:val="Heading1"/>
        <w:spacing w:after="40" w:before="120"/>
      </w:pPr>
      <w:r>
        <w:rPr>
          <w:rFonts w:ascii="Georgia" w:cs="Georgia" w:eastAsia="Georgia" w:hAnsi="Georgia"/>
          <w:color w:val="7C3350"/>
        </w:rPr>
        <w:t xml:space="preserve">01  </w:t>
      </w:r>
      <w:r>
        <w:rPr>
          <w:rFonts w:ascii="Georgia" w:cs="Georgia" w:eastAsia="Georgia" w:hAnsi="Georgia"/>
          <w:color w:val="14181F"/>
        </w:rPr>
        <w:t xml:space="preserve">Lead consent capture</w:t>
      </w:r>
    </w:p>
    <w:p>
      <w:pPr>
        <w:spacing w:after="160" w:before="60"/>
      </w:pPr>
      <w:r>
        <w:rPr>
          <w:rFonts w:ascii="Consolas" w:cs="Consolas" w:eastAsia="Consolas" w:hAnsi="Consolas"/>
          <w:color w:val="5B6672"/>
          <w:sz w:val="16"/>
          <w:szCs w:val="16"/>
        </w:rPr>
        <w:t xml:space="preserve">ROUTE </w:t>
      </w:r>
      <w:r>
        <w:rPr>
          <w:rFonts w:ascii="Consolas" w:cs="Consolas" w:eastAsia="Consolas" w:hAnsi="Consolas"/>
          <w:b/>
          <w:bCs/>
          <w:color w:val="14181F"/>
          <w:sz w:val="16"/>
          <w:szCs w:val="16"/>
        </w:rPr>
        <w:t xml:space="preserve">/leads/new</w:t>
      </w:r>
      <w:r>
        <w:rPr>
          <w:color w:val="5B6672"/>
          <w:sz w:val="16"/>
          <w:szCs w:val="16"/>
        </w:rPr>
        <w:t xml:space="preserve">    ·    </w:t>
      </w:r>
      <w:r>
        <w:rPr>
          <w:rFonts w:ascii="Consolas" w:cs="Consolas" w:eastAsia="Consolas" w:hAnsi="Consolas"/>
          <w:color w:val="5B6672"/>
          <w:sz w:val="16"/>
          <w:szCs w:val="16"/>
        </w:rPr>
        <w:t xml:space="preserve">RULE </w:t>
      </w:r>
      <w:r>
        <w:rPr>
          <w:rFonts w:ascii="Consolas" w:cs="Consolas" w:eastAsia="Consolas" w:hAnsi="Consolas"/>
          <w:b/>
          <w:bCs/>
          <w:color w:val="14181F"/>
          <w:sz w:val="16"/>
          <w:szCs w:val="16"/>
        </w:rPr>
        <w:t xml:space="preserve">Privacy Principle 6</w:t>
      </w:r>
      <w:r>
        <w:rPr>
          <w:color w:val="5B6672"/>
          <w:sz w:val="16"/>
          <w:szCs w:val="16"/>
        </w:rPr>
        <w:t xml:space="preserve">    ·    </w:t>
      </w:r>
      <w:r>
        <w:rPr>
          <w:rFonts w:ascii="Consolas" w:cs="Consolas" w:eastAsia="Consolas" w:hAnsi="Consolas"/>
          <w:color w:val="5B6672"/>
          <w:sz w:val="16"/>
          <w:szCs w:val="16"/>
        </w:rPr>
        <w:t xml:space="preserve">ACCOUNT </w:t>
      </w:r>
      <w:r>
        <w:rPr>
          <w:rFonts w:ascii="Consolas" w:cs="Consolas" w:eastAsia="Consolas" w:hAnsi="Consolas"/>
          <w:b/>
          <w:bCs/>
          <w:color w:val="14181F"/>
          <w:sz w:val="16"/>
          <w:szCs w:val="16"/>
        </w:rPr>
        <w:t xml:space="preserve">marcus@valetcrm.test</w:t>
      </w:r>
    </w:p>
    <w:p>
      <w:pPr>
        <w:spacing w:after="160"/>
      </w:pPr>
      <w:r>
        <w:rPr>
          <w:color w:val="5B6672"/>
          <w:sz w:val="22"/>
          <w:szCs w:val="22"/>
        </w:rPr>
        <w:t xml:space="preserve">Sending a lead now requires the sender to explicitly confirm they hold the third party's consent — the checkbox has to be checked, not merely present in the form. The exact statement version and a timestamp are written onto the Lead row, so a later compliance check can show precisely what wording was agreed to and when.</w:t>
      </w: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localhost:3010/leads/new</w:t>
            </w:r>
          </w:p>
        </w:tc>
      </w:tr>
      <w:tr>
        <w:tc>
          <w:tcPr>
            <w:tcMar>
              <w:top w:type="dxa" w:w="100"/>
              <w:left w:type="dxa" w:w="100"/>
              <w:bottom w:type="dxa" w:w="100"/>
              <w:right w:type="dxa" w:w="100"/>
            </w:tcMar>
          </w:tcPr>
          <w:p>
            <w:pPr>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76700"/>
                          </a:xfrm>
                          <a:prstGeom prst="rect">
                            <a:avLst/>
                          </a:prstGeom>
                        </pic:spPr>
                      </pic:pic>
                    </a:graphicData>
                  </a:graphic>
                </wp:inline>
              </w:drawing>
            </w:r>
          </w:p>
        </w:tc>
      </w:tr>
    </w:tbl>
    <w:p>
      <w:pPr>
        <w:spacing w:after="220" w:before="90"/>
      </w:pPr>
      <w:r>
        <w:rPr>
          <w:i/>
          <w:iCs/>
          <w:color w:val="5B6672"/>
          <w:sz w:val="18"/>
          <w:szCs w:val="18"/>
        </w:rPr>
        <w:t xml:space="preserve">Full “Send a Lead” form as </w:t>
      </w:r>
      <w:r>
        <w:rPr>
          <w:b/>
          <w:bCs/>
          <w:i/>
          <w:iCs/>
          <w:color w:val="0F6E5D"/>
          <w:sz w:val="18"/>
          <w:szCs w:val="18"/>
        </w:rPr>
        <w:t xml:space="preserve">Marcus Lee</w:t>
      </w:r>
      <w:r>
        <w:rPr>
          <w:i/>
          <w:iCs/>
          <w:color w:val="5B6672"/>
          <w:sz w:val="18"/>
          <w:szCs w:val="18"/>
        </w:rPr>
        <w:t xml:space="preserve"> sees it — consent block sits directly above the submit action, not tucked away.</w:t>
      </w:r>
    </w:p>
    <w:p>
      <w:pPr>
        <w:pStyle w:val="Heading1"/>
        <w:spacing w:after="40" w:before="120"/>
      </w:pPr>
      <w:r>
        <w:rPr>
          <w:rFonts w:ascii="Georgia" w:cs="Georgia" w:eastAsia="Georgia" w:hAnsi="Georgia"/>
          <w:color w:val="7C3350"/>
        </w:rPr>
        <w:t xml:space="preserve">02  </w:t>
      </w:r>
      <w:r>
        <w:rPr>
          <w:rFonts w:ascii="Georgia" w:cs="Georgia" w:eastAsia="Georgia" w:hAnsi="Georgia"/>
          <w:color w:val="14181F"/>
        </w:rPr>
        <w:t xml:space="preserve">One dispatcher for every notification</w:t>
      </w:r>
    </w:p>
    <w:p>
      <w:pPr>
        <w:spacing w:after="160" w:before="60"/>
      </w:pPr>
      <w:r>
        <w:rPr>
          <w:rFonts w:ascii="Consolas" w:cs="Consolas" w:eastAsia="Consolas" w:hAnsi="Consolas"/>
          <w:color w:val="5B6672"/>
          <w:sz w:val="16"/>
          <w:szCs w:val="16"/>
        </w:rPr>
        <w:t xml:space="preserve">FILE </w:t>
      </w:r>
      <w:r>
        <w:rPr>
          <w:rFonts w:ascii="Consolas" w:cs="Consolas" w:eastAsia="Consolas" w:hAnsi="Consolas"/>
          <w:b/>
          <w:bCs/>
          <w:color w:val="14181F"/>
          <w:sz w:val="16"/>
          <w:szCs w:val="16"/>
        </w:rPr>
        <w:t xml:space="preserve">server/notify.ts</w:t>
      </w:r>
      <w:r>
        <w:rPr>
          <w:color w:val="5B6672"/>
          <w:sz w:val="16"/>
          <w:szCs w:val="16"/>
        </w:rPr>
        <w:t xml:space="preserve">    ·    </w:t>
      </w:r>
      <w:r>
        <w:rPr>
          <w:rFonts w:ascii="Consolas" w:cs="Consolas" w:eastAsia="Consolas" w:hAnsi="Consolas"/>
          <w:color w:val="5B6672"/>
          <w:sz w:val="16"/>
          <w:szCs w:val="16"/>
        </w:rPr>
        <w:t xml:space="preserve">ACCOUNT </w:t>
      </w:r>
      <w:r>
        <w:rPr>
          <w:rFonts w:ascii="Consolas" w:cs="Consolas" w:eastAsia="Consolas" w:hAnsi="Consolas"/>
          <w:b/>
          <w:bCs/>
          <w:color w:val="14181F"/>
          <w:sz w:val="16"/>
          <w:szCs w:val="16"/>
        </w:rPr>
        <w:t xml:space="preserve">priya@valetcrm.test</w:t>
      </w:r>
      <w:r>
        <w:rPr>
          <w:color w:val="5B6672"/>
          <w:sz w:val="16"/>
          <w:szCs w:val="16"/>
        </w:rPr>
        <w:t xml:space="preserve">    ·    </w:t>
      </w:r>
      <w:r>
        <w:rPr>
          <w:rFonts w:ascii="Consolas" w:cs="Consolas" w:eastAsia="Consolas" w:hAnsi="Consolas"/>
          <w:color w:val="5B6672"/>
          <w:sz w:val="16"/>
          <w:szCs w:val="16"/>
        </w:rPr>
        <w:t xml:space="preserve">METHOD </w:t>
      </w:r>
      <w:r>
        <w:rPr>
          <w:rFonts w:ascii="Consolas" w:cs="Consolas" w:eastAsia="Consolas" w:hAnsi="Consolas"/>
          <w:b/>
          <w:bCs/>
          <w:color w:val="14181F"/>
          <w:sz w:val="16"/>
          <w:szCs w:val="16"/>
        </w:rPr>
        <w:t xml:space="preserve">browser session</w:t>
      </w:r>
    </w:p>
    <w:p>
      <w:pPr>
        <w:spacing w:after="160"/>
      </w:pPr>
      <w:r>
        <w:rPr>
          <w:color w:val="5B6672"/>
          <w:sz w:val="22"/>
          <w:szCs w:val="22"/>
        </w:rPr>
        <w:t xml:space="preserve">Every event that used to write its own ad-hoc notification row — and sometimes fire a separate hand-built email — now goes through one function. It writes the in-app entry and the matching email template together, so the two channels can't drift apart, and it de-dupes recipients so nobody is ever told about their own action.</w:t>
      </w: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localhost:3010/notifications</w:t>
            </w:r>
          </w:p>
        </w:tc>
      </w:tr>
      <w:tr>
        <w:tc>
          <w:tcPr>
            <w:tcMar>
              <w:top w:type="dxa" w:w="100"/>
              <w:left w:type="dxa" w:w="100"/>
              <w:bottom w:type="dxa" w:w="100"/>
              <w:right w:type="dxa" w:w="10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after="220" w:before="90"/>
      </w:pPr>
      <w:r>
        <w:rPr>
          <w:b/>
          <w:bCs/>
          <w:i/>
          <w:iCs/>
          <w:color w:val="0F6E5D"/>
          <w:sz w:val="18"/>
          <w:szCs w:val="18"/>
        </w:rPr>
        <w:t xml:space="preserve">Priya Nair's</w:t>
      </w:r>
      <w:r>
        <w:rPr>
          <w:i/>
          <w:iCs/>
          <w:color w:val="5B6672"/>
          <w:sz w:val="18"/>
          <w:szCs w:val="18"/>
        </w:rPr>
        <w:t xml:space="preserve"> feed — a comment and a mention on the same lead render as two distinct, correctly labelled entries from the one dispatcher call site.</w:t>
      </w:r>
    </w:p>
    <w:p>
      <w:pPr>
        <w:pStyle w:val="Heading1"/>
        <w:spacing w:after="40" w:before="120"/>
      </w:pPr>
      <w:r>
        <w:rPr>
          <w:rFonts w:ascii="Georgia" w:cs="Georgia" w:eastAsia="Georgia" w:hAnsi="Georgia"/>
          <w:color w:val="7C3350"/>
        </w:rPr>
        <w:t xml:space="preserve">03  </w:t>
      </w:r>
      <w:r>
        <w:rPr>
          <w:rFonts w:ascii="Georgia" w:cs="Georgia" w:eastAsia="Georgia" w:hAnsi="Georgia"/>
          <w:color w:val="14181F"/>
        </w:rPr>
        <w:t xml:space="preserve">Email preference &amp; one-click unsubscribe</w:t>
      </w:r>
    </w:p>
    <w:p>
      <w:pPr>
        <w:spacing w:after="160" w:before="60"/>
      </w:pPr>
      <w:r>
        <w:rPr>
          <w:rFonts w:ascii="Consolas" w:cs="Consolas" w:eastAsia="Consolas" w:hAnsi="Consolas"/>
          <w:color w:val="5B6672"/>
          <w:sz w:val="16"/>
          <w:szCs w:val="16"/>
        </w:rPr>
        <w:t xml:space="preserve">ROUTE </w:t>
      </w:r>
      <w:r>
        <w:rPr>
          <w:rFonts w:ascii="Consolas" w:cs="Consolas" w:eastAsia="Consolas" w:hAnsi="Consolas"/>
          <w:b/>
          <w:bCs/>
          <w:color w:val="14181F"/>
          <w:sz w:val="16"/>
          <w:szCs w:val="16"/>
        </w:rPr>
        <w:t xml:space="preserve">/settings</w:t>
      </w:r>
      <w:r>
        <w:rPr>
          <w:color w:val="5B6672"/>
          <w:sz w:val="16"/>
          <w:szCs w:val="16"/>
        </w:rPr>
        <w:t xml:space="preserve">    ·    </w:t>
      </w:r>
      <w:r>
        <w:rPr>
          <w:rFonts w:ascii="Consolas" w:cs="Consolas" w:eastAsia="Consolas" w:hAnsi="Consolas"/>
          <w:color w:val="5B6672"/>
          <w:sz w:val="16"/>
          <w:szCs w:val="16"/>
        </w:rPr>
        <w:t xml:space="preserve">RULE </w:t>
      </w:r>
      <w:r>
        <w:rPr>
          <w:rFonts w:ascii="Consolas" w:cs="Consolas" w:eastAsia="Consolas" w:hAnsi="Consolas"/>
          <w:b/>
          <w:bCs/>
          <w:color w:val="14181F"/>
          <w:sz w:val="16"/>
          <w:szCs w:val="16"/>
        </w:rPr>
        <w:t xml:space="preserve">Spam Act</w:t>
      </w:r>
      <w:r>
        <w:rPr>
          <w:color w:val="5B6672"/>
          <w:sz w:val="16"/>
          <w:szCs w:val="16"/>
        </w:rPr>
        <w:t xml:space="preserve">    ·    </w:t>
      </w:r>
      <w:r>
        <w:rPr>
          <w:rFonts w:ascii="Consolas" w:cs="Consolas" w:eastAsia="Consolas" w:hAnsi="Consolas"/>
          <w:color w:val="5B6672"/>
          <w:sz w:val="16"/>
          <w:szCs w:val="16"/>
        </w:rPr>
        <w:t xml:space="preserve">TOKEN </w:t>
      </w:r>
      <w:r>
        <w:rPr>
          <w:rFonts w:ascii="Consolas" w:cs="Consolas" w:eastAsia="Consolas" w:hAnsi="Consolas"/>
          <w:b/>
          <w:bCs/>
          <w:color w:val="14181F"/>
          <w:sz w:val="16"/>
          <w:szCs w:val="16"/>
        </w:rPr>
        <w:t xml:space="preserve">HMAC-SHA256, timing-safe</w:t>
      </w:r>
    </w:p>
    <w:p>
      <w:pPr>
        <w:spacing w:after="160"/>
      </w:pPr>
      <w:r>
        <w:rPr>
          <w:color w:val="5B6672"/>
          <w:sz w:val="22"/>
          <w:szCs w:val="22"/>
        </w:rPr>
        <w:t xml:space="preserve">Members can turn notification emails off from Settings, and every notification email carries an unsubscribe link that needs no login — an unforgeable token tied to the account. Following it only ever disables email; it can't read or change anything else.</w:t>
      </w:r>
    </w:p>
    <w:tbl>
      <w:tblPr>
        <w:tblW w:type="pct" w:w="100%"/>
        <w:tblBorders>
          <w:top w:val="single" w:color="E0C784" w:sz="4"/>
          <w:left w:val="single" w:color="E0C784" w:sz="4"/>
          <w:bottom w:val="single" w:color="E0C784" w:sz="4"/>
          <w:right w:val="single" w:color="E0C784" w:sz="4"/>
          <w:insideH w:val="none" w:color="FFFFFF" w:sz="0"/>
          <w:insideV w:val="none" w:color="FFFFFF" w:sz="0"/>
        </w:tblBorders>
      </w:tblPr>
      <w:tblGrid>
        <w:gridCol w:w="100"/>
      </w:tblGrid>
      <w:tr>
        <w:tc>
          <w:tcPr>
            <w:shd w:fill="F7ECD9" w:val="clear"/>
            <w:tcMar>
              <w:top w:type="dxa" w:w="140"/>
              <w:left w:type="dxa" w:w="180"/>
              <w:bottom w:type="dxa" w:w="140"/>
              <w:right w:type="dxa" w:w="180"/>
            </w:tcMar>
          </w:tcPr>
          <w:p>
            <w:r>
              <w:rPr>
                <w:b/>
                <w:bCs/>
                <w:color w:val="90600A"/>
                <w:sz w:val="20"/>
                <w:szCs w:val="20"/>
              </w:rPr>
              <w:t xml:space="preserve">Fixed this session — </w:t>
            </w:r>
            <w:r>
              <w:rPr>
                <w:color w:val="14181F"/>
                <w:sz w:val="20"/>
                <w:szCs w:val="20"/>
              </w:rPr>
              <w:t xml:space="preserve"> the “back on” direction of this toggle didn't exist until now. The unsubscribe page always promised “turn email back on any time from your profile settings,” but no such control was wired up. That gap is closed below.</w:t>
            </w:r>
          </w:p>
        </w:tc>
      </w:tr>
    </w:tbl>
    <w:p>
      <w:pPr>
        <w:spacing w:before="160"/>
      </w:pP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localhost:3010/settings</w:t>
            </w:r>
          </w:p>
        </w:tc>
      </w:tr>
      <w:tr>
        <w:tc>
          <w:tcPr>
            <w:tcMar>
              <w:top w:type="dxa" w:w="100"/>
              <w:left w:type="dxa" w:w="100"/>
              <w:bottom w:type="dxa" w:w="100"/>
              <w:right w:type="dxa" w:w="100"/>
            </w:tcMar>
          </w:tcPr>
          <w:p>
            <w:pPr>
              <w:jc w:val="center"/>
            </w:pPr>
            <w:r>
              <w:drawing>
                <wp:inline distT="0" distB="0" distL="0" distR="0">
                  <wp:extent cx="5334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81600"/>
                          </a:xfrm>
                          <a:prstGeom prst="rect">
                            <a:avLst/>
                          </a:prstGeom>
                        </pic:spPr>
                      </pic:pic>
                    </a:graphicData>
                  </a:graphic>
                </wp:inline>
              </w:drawing>
            </w:r>
          </w:p>
        </w:tc>
      </w:tr>
    </w:tbl>
    <w:p>
      <w:pPr>
        <w:spacing w:after="220" w:before="90"/>
      </w:pPr>
      <w:r>
        <w:rPr>
          <w:i/>
          <w:iCs/>
          <w:color w:val="5B6672"/>
          <w:sz w:val="18"/>
          <w:szCs w:val="18"/>
        </w:rPr>
        <w:t xml:space="preserve">Settings — </w:t>
      </w:r>
      <w:r>
        <w:rPr>
          <w:b/>
          <w:bCs/>
          <w:i/>
          <w:iCs/>
          <w:color w:val="0F6E5D"/>
          <w:sz w:val="18"/>
          <w:szCs w:val="18"/>
        </w:rPr>
        <w:t xml:space="preserve">Email notifications</w:t>
      </w:r>
      <w:r>
        <w:rPr>
          <w:i/>
          <w:iCs/>
          <w:color w:val="5B6672"/>
          <w:sz w:val="18"/>
          <w:szCs w:val="18"/>
        </w:rPr>
        <w:t xml:space="preserve">, checked on for Marcus Lee, and the Business logo card above it (covered in §05).</w:t>
      </w: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.../api/notifications/unsubscribe?u=…&amp;t=…</w:t>
            </w:r>
          </w:p>
        </w:tc>
      </w:tr>
      <w:tr>
        <w:tc>
          <w:tcPr>
            <w:tcMar>
              <w:top w:type="dxa" w:w="100"/>
              <w:left w:type="dxa" w:w="100"/>
              <w:bottom w:type="dxa" w:w="100"/>
              <w:right w:type="dxa" w:w="100"/>
            </w:tcMar>
          </w:tcPr>
          <w:p>
            <w:pPr>
              <w:jc w:val="center"/>
            </w:pPr>
            <w:r>
              <w:drawing>
                <wp:inline distT="0" distB="0" distL="0" distR="0">
                  <wp:extent cx="3810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14550"/>
                          </a:xfrm>
                          <a:prstGeom prst="rect">
                            <a:avLst/>
                          </a:prstGeom>
                        </pic:spPr>
                      </pic:pic>
                    </a:graphicData>
                  </a:graphic>
                </wp:inline>
              </w:drawing>
            </w:r>
          </w:p>
        </w:tc>
      </w:tr>
    </w:tbl>
    <w:p>
      <w:pPr>
        <w:spacing w:after="220" w:before="90"/>
      </w:pPr>
      <w:r>
        <w:rPr>
          <w:i/>
          <w:iCs/>
          <w:color w:val="5B6672"/>
          <w:sz w:val="18"/>
          <w:szCs w:val="18"/>
        </w:rPr>
        <w:t xml:space="preserve">The public confirmation page a real unsubscribe link resolves to — no session required.</w:t>
      </w:r>
    </w:p>
    <w:p>
      <w:pPr>
        <w:pStyle w:val="Heading1"/>
        <w:spacing w:after="40" w:before="120"/>
      </w:pPr>
      <w:r>
        <w:rPr>
          <w:rFonts w:ascii="Georgia" w:cs="Georgia" w:eastAsia="Georgia" w:hAnsi="Georgia"/>
          <w:color w:val="7C3350"/>
        </w:rPr>
        <w:t xml:space="preserve">04  </w:t>
      </w:r>
      <w:r>
        <w:rPr>
          <w:rFonts w:ascii="Georgia" w:cs="Georgia" w:eastAsia="Georgia" w:hAnsi="Georgia"/>
          <w:color w:val="14181F"/>
        </w:rPr>
        <w:t xml:space="preserve">AI response redaction</w:t>
      </w:r>
    </w:p>
    <w:p>
      <w:pPr>
        <w:spacing w:after="160" w:before="60"/>
      </w:pPr>
      <w:r>
        <w:rPr>
          <w:rFonts w:ascii="Consolas" w:cs="Consolas" w:eastAsia="Consolas" w:hAnsi="Consolas"/>
          <w:color w:val="5B6672"/>
          <w:sz w:val="16"/>
          <w:szCs w:val="16"/>
        </w:rPr>
        <w:t xml:space="preserve">FILE </w:t>
      </w:r>
      <w:r>
        <w:rPr>
          <w:rFonts w:ascii="Consolas" w:cs="Consolas" w:eastAsia="Consolas" w:hAnsi="Consolas"/>
          <w:b/>
          <w:bCs/>
          <w:color w:val="14181F"/>
          <w:sz w:val="16"/>
          <w:szCs w:val="16"/>
        </w:rPr>
        <w:t xml:space="preserve">server/ai-redact.ts</w:t>
      </w:r>
      <w:r>
        <w:rPr>
          <w:color w:val="5B6672"/>
          <w:sz w:val="16"/>
          <w:szCs w:val="16"/>
        </w:rPr>
        <w:t xml:space="preserve">    ·    </w:t>
      </w:r>
      <w:r>
        <w:rPr>
          <w:rFonts w:ascii="Consolas" w:cs="Consolas" w:eastAsia="Consolas" w:hAnsi="Consolas"/>
          <w:color w:val="5B6672"/>
          <w:sz w:val="16"/>
          <w:szCs w:val="16"/>
        </w:rPr>
        <w:t xml:space="preserve">RULE </w:t>
      </w:r>
      <w:r>
        <w:rPr>
          <w:rFonts w:ascii="Consolas" w:cs="Consolas" w:eastAsia="Consolas" w:hAnsi="Consolas"/>
          <w:b/>
          <w:bCs/>
          <w:color w:val="14181F"/>
          <w:sz w:val="16"/>
          <w:szCs w:val="16"/>
        </w:rPr>
        <w:t xml:space="preserve">Privacy Principle 8</w:t>
      </w:r>
      <w:r>
        <w:rPr>
          <w:color w:val="5B6672"/>
          <w:sz w:val="16"/>
          <w:szCs w:val="16"/>
        </w:rPr>
        <w:t xml:space="preserve">    ·    </w:t>
      </w:r>
      <w:r>
        <w:rPr>
          <w:rFonts w:ascii="Consolas" w:cs="Consolas" w:eastAsia="Consolas" w:hAnsi="Consolas"/>
          <w:color w:val="5B6672"/>
          <w:sz w:val="16"/>
          <w:szCs w:val="16"/>
        </w:rPr>
        <w:t xml:space="preserve">TESTS </w:t>
      </w:r>
      <w:r>
        <w:rPr>
          <w:rFonts w:ascii="Consolas" w:cs="Consolas" w:eastAsia="Consolas" w:hAnsi="Consolas"/>
          <w:b/>
          <w:bCs/>
          <w:color w:val="14181F"/>
          <w:sz w:val="16"/>
          <w:szCs w:val="16"/>
        </w:rPr>
        <w:t xml:space="preserve">ai-redact.test.ts</w:t>
      </w:r>
    </w:p>
    <w:p>
      <w:pPr>
        <w:spacing w:after="160"/>
      </w:pPr>
      <w:r>
        <w:rPr>
          <w:color w:val="5B6672"/>
          <w:sz w:val="22"/>
          <w:szCs w:val="22"/>
        </w:rPr>
        <w:t xml:space="preserve">Names, emails and phone numbers are swapped for stable tokens before any lead, deal, contact or company text reaches the Claude API, and swapped back before the result is shown or saved — the model reasons over [CONTACT_1], the member reads “Jordan Reyes.”</w:t>
      </w:r>
    </w:p>
    <w:tbl>
      <w:tblPr>
        <w:tblW w:type="pct" w:w="100%"/>
        <w:tblBorders>
          <w:top w:val="single" w:color="E0C784" w:sz="4"/>
          <w:left w:val="single" w:color="E0C784" w:sz="4"/>
          <w:bottom w:val="single" w:color="E0C784" w:sz="4"/>
          <w:right w:val="single" w:color="E0C784" w:sz="4"/>
          <w:insideH w:val="none" w:color="FFFFFF" w:sz="0"/>
          <w:insideV w:val="none" w:color="FFFFFF" w:sz="0"/>
        </w:tblBorders>
      </w:tblPr>
      <w:tblGrid>
        <w:gridCol w:w="100"/>
      </w:tblGrid>
      <w:tr>
        <w:tc>
          <w:tcPr>
            <w:shd w:fill="F7ECD9" w:val="clear"/>
            <w:tcMar>
              <w:top w:type="dxa" w:w="140"/>
              <w:left w:type="dxa" w:w="180"/>
              <w:bottom w:type="dxa" w:w="140"/>
              <w:right w:type="dxa" w:w="180"/>
            </w:tcMar>
          </w:tcPr>
          <w:p>
            <w:r>
              <w:rPr>
                <w:b/>
                <w:bCs/>
                <w:color w:val="90600A"/>
                <w:sz w:val="20"/>
                <w:szCs w:val="20"/>
              </w:rPr>
              <w:t xml:space="preserve">Can't demo live — </w:t>
            </w:r>
            <w:r>
              <w:rPr>
                <w:color w:val="14181F"/>
                <w:sz w:val="20"/>
                <w:szCs w:val="20"/>
              </w:rPr>
              <w:t xml:space="preserve"> this environment has no ANTHROPIC_API_KEY configured, so the panel correctly reports the feature as off rather than attempting a call. The token swap/restore logic itself is exercised directly by the test suite.</w:t>
            </w:r>
          </w:p>
        </w:tc>
      </w:tr>
    </w:tbl>
    <w:p>
      <w:pPr>
        <w:spacing w:before="160"/>
      </w:pP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localhost:3010/leads/cmr5zshft…</w:t>
            </w:r>
          </w:p>
        </w:tc>
      </w:tr>
      <w:tr>
        <w:tc>
          <w:tcPr>
            <w:tcMar>
              <w:top w:type="dxa" w:w="100"/>
              <w:left w:type="dxa" w:w="100"/>
              <w:bottom w:type="dxa" w:w="100"/>
              <w:right w:type="dxa" w:w="100"/>
            </w:tcMar>
          </w:tcPr>
          <w:p>
            <w:pPr>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76700"/>
                          </a:xfrm>
                          <a:prstGeom prst="rect">
                            <a:avLst/>
                          </a:prstGeom>
                        </pic:spPr>
                      </pic:pic>
                    </a:graphicData>
                  </a:graphic>
                </wp:inline>
              </w:drawing>
            </w:r>
          </w:p>
        </w:tc>
      </w:tr>
    </w:tbl>
    <w:p>
      <w:pPr>
        <w:spacing w:after="220" w:before="90"/>
      </w:pPr>
      <w:r>
        <w:rPr>
          <w:i/>
          <w:iCs/>
          <w:color w:val="5B6672"/>
          <w:sz w:val="18"/>
          <w:szCs w:val="18"/>
        </w:rPr>
        <w:t xml:space="preserve">Lead detail page — the exact off-state message a deployment without a Claude key sees, in place of the email-writer and summary panels.</w:t>
      </w:r>
    </w:p>
    <w:p>
      <w:pPr>
        <w:pStyle w:val="Heading1"/>
        <w:spacing w:after="40" w:before="120"/>
      </w:pPr>
      <w:r>
        <w:rPr>
          <w:rFonts w:ascii="Georgia" w:cs="Georgia" w:eastAsia="Georgia" w:hAnsi="Georgia"/>
          <w:color w:val="7C3350"/>
        </w:rPr>
        <w:t xml:space="preserve">05  </w:t>
      </w:r>
      <w:r>
        <w:rPr>
          <w:rFonts w:ascii="Georgia" w:cs="Georgia" w:eastAsia="Georgia" w:hAnsi="Georgia"/>
          <w:color w:val="14181F"/>
        </w:rPr>
        <w:t xml:space="preserve">Business logo upload</w:t>
      </w:r>
    </w:p>
    <w:p>
      <w:pPr>
        <w:spacing w:after="160" w:before="60"/>
      </w:pPr>
      <w:r>
        <w:rPr>
          <w:rFonts w:ascii="Consolas" w:cs="Consolas" w:eastAsia="Consolas" w:hAnsi="Consolas"/>
          <w:color w:val="5B6672"/>
          <w:sz w:val="16"/>
          <w:szCs w:val="16"/>
        </w:rPr>
        <w:t xml:space="preserve">ROUTE </w:t>
      </w:r>
      <w:r>
        <w:rPr>
          <w:rFonts w:ascii="Consolas" w:cs="Consolas" w:eastAsia="Consolas" w:hAnsi="Consolas"/>
          <w:b/>
          <w:bCs/>
          <w:color w:val="14181F"/>
          <w:sz w:val="16"/>
          <w:szCs w:val="16"/>
        </w:rPr>
        <w:t xml:space="preserve">/settings · /directory</w:t>
      </w:r>
      <w:r>
        <w:rPr>
          <w:color w:val="5B6672"/>
          <w:sz w:val="16"/>
          <w:szCs w:val="16"/>
        </w:rPr>
        <w:t xml:space="preserve">    ·    </w:t>
      </w:r>
      <w:r>
        <w:rPr>
          <w:rFonts w:ascii="Consolas" w:cs="Consolas" w:eastAsia="Consolas" w:hAnsi="Consolas"/>
          <w:color w:val="5B6672"/>
          <w:sz w:val="16"/>
          <w:szCs w:val="16"/>
        </w:rPr>
        <w:t xml:space="preserve">MIRRORS </w:t>
      </w:r>
      <w:r>
        <w:rPr>
          <w:rFonts w:ascii="Consolas" w:cs="Consolas" w:eastAsia="Consolas" w:hAnsi="Consolas"/>
          <w:b/>
          <w:bCs/>
          <w:color w:val="14181F"/>
          <w:sz w:val="16"/>
          <w:szCs w:val="16"/>
        </w:rPr>
        <w:t xml:space="preserve">avatar upload path</w:t>
      </w:r>
    </w:p>
    <w:p>
      <w:pPr>
        <w:spacing w:after="160"/>
      </w:pPr>
      <w:r>
        <w:rPr>
          <w:color w:val="5B6672"/>
          <w:sz w:val="22"/>
          <w:szCs w:val="22"/>
        </w:rPr>
        <w:t xml:space="preserve">Members can upload a logo for their business, shown on its card in the Member Directory. It reuses the existing avatar-upload route's validation and delete-on-replace logic exactly, rather than a second code path with its own edge cases.</w:t>
      </w:r>
    </w:p>
    <w:tbl>
      <w:tblPr>
        <w:tblW w:type="pct" w:w="100%"/>
        <w:tblBorders>
          <w:top w:val="single" w:color="E0C784" w:sz="4"/>
          <w:left w:val="single" w:color="E0C784" w:sz="4"/>
          <w:bottom w:val="single" w:color="E0C784" w:sz="4"/>
          <w:right w:val="single" w:color="E0C784" w:sz="4"/>
          <w:insideH w:val="none" w:color="FFFFFF" w:sz="0"/>
          <w:insideV w:val="none" w:color="FFFFFF" w:sz="0"/>
        </w:tblBorders>
      </w:tblPr>
      <w:tblGrid>
        <w:gridCol w:w="100"/>
      </w:tblGrid>
      <w:tr>
        <w:tc>
          <w:tcPr>
            <w:shd w:fill="F7ECD9" w:val="clear"/>
            <w:tcMar>
              <w:top w:type="dxa" w:w="140"/>
              <w:left w:type="dxa" w:w="180"/>
              <w:bottom w:type="dxa" w:w="140"/>
              <w:right w:type="dxa" w:w="180"/>
            </w:tcMar>
          </w:tcPr>
          <w:p>
            <w:r>
              <w:rPr>
                <w:b/>
                <w:bCs/>
                <w:color w:val="90600A"/>
                <w:sz w:val="20"/>
                <w:szCs w:val="20"/>
              </w:rPr>
              <w:t xml:space="preserve">Storage unconfigured — </w:t>
            </w:r>
            <w:r>
              <w:rPr>
                <w:color w:val="14181F"/>
                <w:sz w:val="20"/>
                <w:szCs w:val="20"/>
              </w:rPr>
              <w:t xml:space="preserve"> this environment has no S3 credentials set, so the upload control is correctly disabled with an explanation, matching what a fresh self-hosted deployment sees before S3 is set up. See the Business logo card in the Settings screenshot under §03.</w:t>
            </w:r>
          </w:p>
        </w:tc>
      </w:tr>
    </w:tbl>
    <w:p>
      <w:pPr>
        <w:pStyle w:val="Heading1"/>
        <w:spacing w:after="40" w:before="120"/>
      </w:pPr>
      <w:r>
        <w:rPr>
          <w:rFonts w:ascii="Georgia" w:cs="Georgia" w:eastAsia="Georgia" w:hAnsi="Georgia"/>
          <w:color w:val="7C3350"/>
        </w:rPr>
        <w:t xml:space="preserve">06  </w:t>
      </w:r>
      <w:r>
        <w:rPr>
          <w:rFonts w:ascii="Georgia" w:cs="Georgia" w:eastAsia="Georgia" w:hAnsi="Georgia"/>
          <w:color w:val="14181F"/>
        </w:rPr>
        <w:t xml:space="preserve">Export hardening</w:t>
      </w:r>
    </w:p>
    <w:p>
      <w:pPr>
        <w:spacing w:after="160" w:before="60"/>
      </w:pPr>
      <w:r>
        <w:rPr>
          <w:rFonts w:ascii="Consolas" w:cs="Consolas" w:eastAsia="Consolas" w:hAnsi="Consolas"/>
          <w:color w:val="5B6672"/>
          <w:sz w:val="16"/>
          <w:szCs w:val="16"/>
        </w:rPr>
        <w:t xml:space="preserve">ROUTES </w:t>
      </w:r>
      <w:r>
        <w:rPr>
          <w:rFonts w:ascii="Consolas" w:cs="Consolas" w:eastAsia="Consolas" w:hAnsi="Consolas"/>
          <w:b/>
          <w:bCs/>
          <w:color w:val="14181F"/>
          <w:sz w:val="16"/>
          <w:szCs w:val="16"/>
        </w:rPr>
        <w:t xml:space="preserve">leads/export · contacts/export</w:t>
      </w:r>
      <w:r>
        <w:rPr>
          <w:color w:val="5B6672"/>
          <w:sz w:val="16"/>
          <w:szCs w:val="16"/>
        </w:rPr>
        <w:t xml:space="preserve">    ·    </w:t>
      </w:r>
      <w:r>
        <w:rPr>
          <w:rFonts w:ascii="Consolas" w:cs="Consolas" w:eastAsia="Consolas" w:hAnsi="Consolas"/>
          <w:color w:val="5B6672"/>
          <w:sz w:val="16"/>
          <w:szCs w:val="16"/>
        </w:rPr>
        <w:t xml:space="preserve">RULE </w:t>
      </w:r>
      <w:r>
        <w:rPr>
          <w:rFonts w:ascii="Consolas" w:cs="Consolas" w:eastAsia="Consolas" w:hAnsi="Consolas"/>
          <w:b/>
          <w:bCs/>
          <w:color w:val="14181F"/>
          <w:sz w:val="16"/>
          <w:szCs w:val="16"/>
        </w:rPr>
        <w:t xml:space="preserve">Privacy Principle 11.1</w:t>
      </w:r>
      <w:r>
        <w:rPr>
          <w:color w:val="5B6672"/>
          <w:sz w:val="16"/>
          <w:szCs w:val="16"/>
        </w:rPr>
        <w:t xml:space="preserve">    ·    </w:t>
      </w:r>
      <w:r>
        <w:rPr>
          <w:rFonts w:ascii="Consolas" w:cs="Consolas" w:eastAsia="Consolas" w:hAnsi="Consolas"/>
          <w:color w:val="5B6672"/>
          <w:sz w:val="16"/>
          <w:szCs w:val="16"/>
        </w:rPr>
        <w:t xml:space="preserve">ACCOUNT </w:t>
      </w:r>
      <w:r>
        <w:rPr>
          <w:rFonts w:ascii="Consolas" w:cs="Consolas" w:eastAsia="Consolas" w:hAnsi="Consolas"/>
          <w:b/>
          <w:bCs/>
          <w:color w:val="14181F"/>
          <w:sz w:val="16"/>
          <w:szCs w:val="16"/>
        </w:rPr>
        <w:t xml:space="preserve">admin@valetcrm.test</w:t>
      </w:r>
    </w:p>
    <w:p>
      <w:pPr>
        <w:spacing w:after="160"/>
      </w:pPr>
      <w:r>
        <w:rPr>
          <w:color w:val="5B6672"/>
          <w:sz w:val="22"/>
          <w:szCs w:val="22"/>
        </w:rPr>
        <w:t xml:space="preserve">Bulk CSV export is now rate-limited to five requests per five minutes per user, capped at 10,000 rows with a truncation flag on the response, and always writes an EXPORT entry to the audit log with the requester, row count and IP. A whole book of members' personal information leaving in one click is exactly the action a privacy review asks to trace.</w:t>
      </w: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localhost:3010/admin/audit</w:t>
            </w:r>
          </w:p>
        </w:tc>
      </w:tr>
      <w:tr>
        <w:tc>
          <w:tcPr>
            <w:tcMar>
              <w:top w:type="dxa" w:w="100"/>
              <w:left w:type="dxa" w:w="100"/>
              <w:bottom w:type="dxa" w:w="100"/>
              <w:right w:type="dxa" w:w="10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after="220" w:before="90"/>
      </w:pPr>
      <w:r>
        <w:rPr>
          <w:i/>
          <w:iCs/>
          <w:color w:val="5B6672"/>
          <w:sz w:val="18"/>
          <w:szCs w:val="18"/>
        </w:rPr>
        <w:t xml:space="preserve">Super Admin → Audit log, viewed as </w:t>
      </w:r>
      <w:r>
        <w:rPr>
          <w:b/>
          <w:bCs/>
          <w:i/>
          <w:iCs/>
          <w:color w:val="0F6E5D"/>
          <w:sz w:val="18"/>
          <w:szCs w:val="18"/>
        </w:rPr>
        <w:t xml:space="preserve">Club Operator</w:t>
      </w:r>
      <w:r>
        <w:rPr>
          <w:i/>
          <w:iCs/>
          <w:color w:val="5B6672"/>
          <w:sz w:val="18"/>
          <w:szCs w:val="18"/>
        </w:rPr>
        <w:t xml:space="preserve"> — two Exported / Contact rows for Theo Admin, timestamped moments after the export request in this review.</w:t>
      </w:r>
    </w:p>
    <w:p>
      <w:pPr>
        <w:pStyle w:val="Heading1"/>
        <w:spacing w:after="40" w:before="120"/>
      </w:pPr>
      <w:r>
        <w:rPr>
          <w:rFonts w:ascii="Georgia" w:cs="Georgia" w:eastAsia="Georgia" w:hAnsi="Georgia"/>
          <w:color w:val="7C3350"/>
        </w:rPr>
        <w:t xml:space="preserve">07  </w:t>
      </w:r>
      <w:r>
        <w:rPr>
          <w:rFonts w:ascii="Georgia" w:cs="Georgia" w:eastAsia="Georgia" w:hAnsi="Georgia"/>
          <w:color w:val="14181F"/>
        </w:rPr>
        <w:t xml:space="preserve">@mention detection in lead comments</w:t>
      </w:r>
    </w:p>
    <w:p>
      <w:pPr>
        <w:spacing w:after="160" w:before="60"/>
      </w:pPr>
      <w:r>
        <w:rPr>
          <w:rFonts w:ascii="Consolas" w:cs="Consolas" w:eastAsia="Consolas" w:hAnsi="Consolas"/>
          <w:color w:val="5B6672"/>
          <w:sz w:val="16"/>
          <w:szCs w:val="16"/>
        </w:rPr>
        <w:t xml:space="preserve">ROUTE </w:t>
      </w:r>
      <w:r>
        <w:rPr>
          <w:rFonts w:ascii="Consolas" w:cs="Consolas" w:eastAsia="Consolas" w:hAnsi="Consolas"/>
          <w:b/>
          <w:bCs/>
          <w:color w:val="14181F"/>
          <w:sz w:val="16"/>
          <w:szCs w:val="16"/>
        </w:rPr>
        <w:t xml:space="preserve">/leads?lead=…</w:t>
      </w:r>
      <w:r>
        <w:rPr>
          <w:color w:val="5B6672"/>
          <w:sz w:val="16"/>
          <w:szCs w:val="16"/>
        </w:rPr>
        <w:t xml:space="preserve">    ·    </w:t>
      </w:r>
      <w:r>
        <w:rPr>
          <w:rFonts w:ascii="Consolas" w:cs="Consolas" w:eastAsia="Consolas" w:hAnsi="Consolas"/>
          <w:color w:val="5B6672"/>
          <w:sz w:val="16"/>
          <w:szCs w:val="16"/>
        </w:rPr>
        <w:t xml:space="preserve">TYPE </w:t>
      </w:r>
      <w:r>
        <w:rPr>
          <w:rFonts w:ascii="Consolas" w:cs="Consolas" w:eastAsia="Consolas" w:hAnsi="Consolas"/>
          <w:b/>
          <w:bCs/>
          <w:color w:val="14181F"/>
          <w:sz w:val="16"/>
          <w:szCs w:val="16"/>
        </w:rPr>
        <w:t xml:space="preserve">MENTIONED_IN_NOTE</w:t>
      </w:r>
    </w:p>
    <w:p>
      <w:pPr>
        <w:spacing w:after="160"/>
      </w:pPr>
      <w:r>
        <w:rPr>
          <w:color w:val="5B6672"/>
          <w:sz w:val="22"/>
          <w:szCs w:val="22"/>
        </w:rPr>
        <w:t xml:space="preserve">Typing @Full Name in a lead comment resolves against active org members and fires a dedicated “mentioned you” notification to anyone named who wasn't already going to hear about the comment as a party to the lead — so a mention is never silently absorbed into an existing notification, and never double-fires for someone already told.</w:t>
      </w: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localhost:3010/leads?lead=cmr5zshft…</w:t>
            </w:r>
          </w:p>
        </w:tc>
      </w:tr>
      <w:tr>
        <w:tc>
          <w:tcPr>
            <w:tcMar>
              <w:top w:type="dxa" w:w="100"/>
              <w:left w:type="dxa" w:w="100"/>
              <w:bottom w:type="dxa" w:w="100"/>
              <w:right w:type="dxa" w:w="100"/>
            </w:tcMar>
          </w:tcPr>
          <w:p>
            <w:pPr>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76700"/>
                          </a:xfrm>
                          <a:prstGeom prst="rect">
                            <a:avLst/>
                          </a:prstGeom>
                        </pic:spPr>
                      </pic:pic>
                    </a:graphicData>
                  </a:graphic>
                </wp:inline>
              </w:drawing>
            </w:r>
          </w:p>
        </w:tc>
      </w:tr>
    </w:tbl>
    <w:p>
      <w:pPr>
        <w:spacing w:after="220" w:before="90"/>
      </w:pPr>
      <w:r>
        <w:rPr>
          <w:b/>
          <w:bCs/>
          <w:i/>
          <w:iCs/>
          <w:color w:val="0F6E5D"/>
          <w:sz w:val="18"/>
          <w:szCs w:val="18"/>
        </w:rPr>
        <w:t xml:space="preserve">Marcus Lee</w:t>
      </w:r>
      <w:r>
        <w:rPr>
          <w:i/>
          <w:iCs/>
          <w:color w:val="5B6672"/>
          <w:sz w:val="18"/>
          <w:szCs w:val="18"/>
        </w:rPr>
        <w:t xml:space="preserve"> comments on the Greg Hamilton lead, mentioning Daniel Cohen — who is neither the lead's owner nor its referrer.</w:t>
      </w:r>
    </w:p>
    <w:tbl>
      <w:tblPr>
        <w:tblW w:type="pct" w:w="100%"/>
        <w:tblBorders>
          <w:top w:val="single" w:color="DBE1E6" w:sz="4"/>
          <w:left w:val="single" w:color="DBE1E6" w:sz="4"/>
          <w:bottom w:val="single" w:color="DBE1E6" w:sz="4"/>
          <w:right w:val="single" w:color="DBE1E6" w:sz="4"/>
          <w:insideH w:val="single" w:color="DBE1E6" w:sz="4"/>
          <w:insideV w:val="none" w:color="FFFFFF" w:sz="0"/>
        </w:tblBorders>
      </w:tblPr>
      <w:tblGrid>
        <w:gridCol w:w="100"/>
      </w:tblGrid>
      <w:tr>
        <w:tc>
          <w:tcPr>
            <w:shd w:fill="F1F4F6" w:val="clear"/>
            <w:tcMar>
              <w:top w:type="dxa" w:w="80"/>
              <w:left w:type="dxa" w:w="140"/>
              <w:bottom w:type="dxa" w:w="80"/>
              <w:right w:type="dxa" w:w="140"/>
            </w:tcMar>
          </w:tcPr>
          <w:p>
            <w:r>
              <w:rPr>
                <w:rFonts w:ascii="Consolas" w:cs="Consolas" w:eastAsia="Consolas" w:hAnsi="Consolas"/>
                <w:color w:val="5B6672"/>
                <w:sz w:val="16"/>
                <w:szCs w:val="16"/>
              </w:rPr>
              <w:t xml:space="preserve">localhost:3010/notifications</w:t>
            </w:r>
          </w:p>
        </w:tc>
      </w:tr>
      <w:tr>
        <w:tc>
          <w:tcPr>
            <w:tcMar>
              <w:top w:type="dxa" w:w="100"/>
              <w:left w:type="dxa" w:w="100"/>
              <w:bottom w:type="dxa" w:w="100"/>
              <w:right w:type="dxa" w:w="10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tc>
      </w:tr>
    </w:tbl>
    <w:p>
      <w:pPr>
        <w:spacing w:after="220" w:before="90"/>
      </w:pPr>
      <w:r>
        <w:rPr>
          <w:b/>
          <w:bCs/>
          <w:i/>
          <w:iCs/>
          <w:color w:val="0F6E5D"/>
          <w:sz w:val="18"/>
          <w:szCs w:val="18"/>
        </w:rPr>
        <w:t xml:space="preserve">Daniel Cohen's</w:t>
      </w:r>
      <w:r>
        <w:rPr>
          <w:i/>
          <w:iCs/>
          <w:color w:val="5B6672"/>
          <w:sz w:val="18"/>
          <w:szCs w:val="18"/>
        </w:rPr>
        <w:t xml:space="preserve"> feed — a distinct Mentioned entry, not a generic comment notice.</w:t>
      </w:r>
    </w:p>
    <w:p>
      <w:pPr>
        <w:pStyle w:val="Heading1"/>
        <w:spacing w:after="40" w:before="120"/>
      </w:pPr>
      <w:r>
        <w:rPr>
          <w:rFonts w:ascii="Georgia" w:cs="Georgia" w:eastAsia="Georgia" w:hAnsi="Georgia"/>
          <w:color w:val="7C3350"/>
        </w:rPr>
        <w:t xml:space="preserve">08  </w:t>
      </w:r>
      <w:r>
        <w:rPr>
          <w:rFonts w:ascii="Georgia" w:cs="Georgia" w:eastAsia="Georgia" w:hAnsi="Georgia"/>
          <w:color w:val="14181F"/>
        </w:rPr>
        <w:t xml:space="preserve">First-admin bootstrap</w:t>
      </w:r>
    </w:p>
    <w:p>
      <w:pPr>
        <w:spacing w:after="160" w:before="60"/>
      </w:pPr>
      <w:r>
        <w:rPr>
          <w:rFonts w:ascii="Consolas" w:cs="Consolas" w:eastAsia="Consolas" w:hAnsi="Consolas"/>
          <w:color w:val="5B6672"/>
          <w:sz w:val="16"/>
          <w:szCs w:val="16"/>
        </w:rPr>
        <w:t xml:space="preserve">FILE </w:t>
      </w:r>
      <w:r>
        <w:rPr>
          <w:rFonts w:ascii="Consolas" w:cs="Consolas" w:eastAsia="Consolas" w:hAnsi="Consolas"/>
          <w:b/>
          <w:bCs/>
          <w:color w:val="14181F"/>
          <w:sz w:val="16"/>
          <w:szCs w:val="16"/>
        </w:rPr>
        <w:t xml:space="preserve">prisma/bootstrap.ts</w:t>
      </w:r>
      <w:r>
        <w:rPr>
          <w:color w:val="5B6672"/>
          <w:sz w:val="16"/>
          <w:szCs w:val="16"/>
        </w:rPr>
        <w:t xml:space="preserve">    ·    </w:t>
      </w:r>
      <w:r>
        <w:rPr>
          <w:rFonts w:ascii="Consolas" w:cs="Consolas" w:eastAsia="Consolas" w:hAnsi="Consolas"/>
          <w:color w:val="5B6672"/>
          <w:sz w:val="16"/>
          <w:szCs w:val="16"/>
        </w:rPr>
        <w:t xml:space="preserve">CMD </w:t>
      </w:r>
      <w:r>
        <w:rPr>
          <w:rFonts w:ascii="Consolas" w:cs="Consolas" w:eastAsia="Consolas" w:hAnsi="Consolas"/>
          <w:b/>
          <w:bCs/>
          <w:color w:val="14181F"/>
          <w:sz w:val="16"/>
          <w:szCs w:val="16"/>
        </w:rPr>
        <w:t xml:space="preserve">npm run bootstrap</w:t>
      </w:r>
    </w:p>
    <w:p>
      <w:pPr>
        <w:spacing w:after="160"/>
      </w:pPr>
      <w:r>
        <w:rPr>
          <w:color w:val="5B6672"/>
          <w:sz w:val="22"/>
          <w:szCs w:val="22"/>
        </w:rPr>
        <w:t xml:space="preserve">Self-registration is disabled, and accounts otherwise arrive only by invitation from an existing admin — so a brand-new database needs one deliberate way in. This script creates exactly one Super Admin and refuses outright if any user already exists, which is what makes it safe to leave in a production runbook without it ever becoming a second front door.</w:t>
      </w:r>
    </w:p>
    <w:tbl>
      <w:tblPr>
        <w:tblW w:type="pct" w:w="100%"/>
        <w:tblBorders>
          <w:top w:val="single" w:color="14181F" w:sz="4"/>
          <w:left w:val="single" w:color="14181F" w:sz="4"/>
          <w:bottom w:val="single" w:color="14181F" w:sz="4"/>
          <w:right w:val="single" w:color="14181F" w:sz="4"/>
          <w:insideH w:val="none" w:color="14181F" w:sz="0"/>
          <w:insideV w:val="none" w:color="14181F" w:sz="0"/>
        </w:tblBorders>
      </w:tblPr>
      <w:tblGrid>
        <w:gridCol w:w="100"/>
      </w:tblGrid>
      <w:tr>
        <w:tc>
          <w:tcPr>
            <w:shd w:fill="14181F" w:val="clear"/>
            <w:tcMar>
              <w:top w:type="dxa" w:w="160"/>
              <w:left w:type="dxa" w:w="200"/>
              <w:bottom w:type="dxa" w:w="160"/>
              <w:right w:type="dxa" w:w="200"/>
            </w:tcMar>
          </w:tcPr>
          <w:p>
            <w:pPr>
              <w:spacing w:after="30"/>
            </w:pPr>
            <w:r>
              <w:rPr>
                <w:rFonts w:ascii="Consolas" w:cs="Consolas" w:eastAsia="Consolas" w:hAnsi="Consolas"/>
                <w:color w:val="7FE6C9"/>
                <w:sz w:val="18"/>
                <w:szCs w:val="18"/>
              </w:rPr>
              <w:t xml:space="preserve">$ npm run bootstrap</w:t>
            </w:r>
          </w:p>
          <w:p>
            <w:pPr>
              <w:spacing w:after="30"/>
            </w:pPr>
            <w:r>
              <w:rPr>
                <w:rFonts w:ascii="Consolas" w:cs="Consolas" w:eastAsia="Consolas" w:hAnsi="Consolas"/>
                <w:color w:val="D7E0E6"/>
                <w:sz w:val="18"/>
                <w:szCs w:val="18"/>
              </w:rPr>
              <w:t xml:space="preserve">Refusing to bootstrap: 6 user(s) already exist.</w:t>
            </w:r>
          </w:p>
          <w:p>
            <w:pPr>
              <w:spacing w:after="30"/>
            </w:pPr>
            <w:r>
              <w:rPr>
                <w:rFonts w:ascii="Consolas" w:cs="Consolas" w:eastAsia="Consolas" w:hAnsi="Consolas"/>
                <w:color w:val="D7E0E6"/>
                <w:sz w:val="18"/>
                <w:szCs w:val="18"/>
              </w:rPr>
              <w:t xml:space="preserve">Add people by inviting them from Members instead.</w:t>
            </w:r>
          </w:p>
        </w:tc>
      </w:tr>
    </w:tbl>
    <w:p>
      <w:pPr>
        <w:spacing w:after="220" w:before="90"/>
      </w:pPr>
      <w:r>
        <w:rPr>
          <w:i/>
          <w:iCs/>
          <w:color w:val="5B6672"/>
          <w:sz w:val="18"/>
          <w:szCs w:val="18"/>
        </w:rPr>
        <w:t xml:space="preserve">Run against this session's seeded database — correctly refuses, since 6 users already exist.</w:t>
      </w:r>
    </w:p>
    <w:p>
      <w:pPr>
        <w:pStyle w:val="Heading1"/>
        <w:spacing w:after="40" w:before="120"/>
      </w:pPr>
      <w:r>
        <w:rPr>
          <w:rFonts w:ascii="Georgia" w:cs="Georgia" w:eastAsia="Georgia" w:hAnsi="Georgia"/>
          <w:color w:val="7C3350"/>
        </w:rPr>
        <w:t xml:space="preserve">09  </w:t>
      </w:r>
      <w:r>
        <w:rPr>
          <w:rFonts w:ascii="Georgia" w:cs="Georgia" w:eastAsia="Georgia" w:hAnsi="Georgia"/>
          <w:color w:val="14181F"/>
        </w:rPr>
        <w:t xml:space="preserve">Retention purge</w:t>
      </w:r>
    </w:p>
    <w:p>
      <w:pPr>
        <w:spacing w:after="160" w:before="60"/>
      </w:pPr>
      <w:r>
        <w:rPr>
          <w:rFonts w:ascii="Consolas" w:cs="Consolas" w:eastAsia="Consolas" w:hAnsi="Consolas"/>
          <w:color w:val="5B6672"/>
          <w:sz w:val="16"/>
          <w:szCs w:val="16"/>
        </w:rPr>
        <w:t xml:space="preserve">FILE </w:t>
      </w:r>
      <w:r>
        <w:rPr>
          <w:rFonts w:ascii="Consolas" w:cs="Consolas" w:eastAsia="Consolas" w:hAnsi="Consolas"/>
          <w:b/>
          <w:bCs/>
          <w:color w:val="14181F"/>
          <w:sz w:val="16"/>
          <w:szCs w:val="16"/>
        </w:rPr>
        <w:t xml:space="preserve">prisma/purge.ts</w:t>
      </w:r>
      <w:r>
        <w:rPr>
          <w:color w:val="5B6672"/>
          <w:sz w:val="16"/>
          <w:szCs w:val="16"/>
        </w:rPr>
        <w:t xml:space="preserve">    ·    </w:t>
      </w:r>
      <w:r>
        <w:rPr>
          <w:rFonts w:ascii="Consolas" w:cs="Consolas" w:eastAsia="Consolas" w:hAnsi="Consolas"/>
          <w:color w:val="5B6672"/>
          <w:sz w:val="16"/>
          <w:szCs w:val="16"/>
        </w:rPr>
        <w:t xml:space="preserve">CMD </w:t>
      </w:r>
      <w:r>
        <w:rPr>
          <w:rFonts w:ascii="Consolas" w:cs="Consolas" w:eastAsia="Consolas" w:hAnsi="Consolas"/>
          <w:b/>
          <w:bCs/>
          <w:color w:val="14181F"/>
          <w:sz w:val="16"/>
          <w:szCs w:val="16"/>
        </w:rPr>
        <w:t xml:space="preserve">npm run purge -- --dry-run</w:t>
      </w:r>
      <w:r>
        <w:rPr>
          <w:color w:val="5B6672"/>
          <w:sz w:val="16"/>
          <w:szCs w:val="16"/>
        </w:rPr>
        <w:t xml:space="preserve">    ·    </w:t>
      </w:r>
      <w:r>
        <w:rPr>
          <w:rFonts w:ascii="Consolas" w:cs="Consolas" w:eastAsia="Consolas" w:hAnsi="Consolas"/>
          <w:color w:val="5B6672"/>
          <w:sz w:val="16"/>
          <w:szCs w:val="16"/>
        </w:rPr>
        <w:t xml:space="preserve">RULE </w:t>
      </w:r>
      <w:r>
        <w:rPr>
          <w:rFonts w:ascii="Consolas" w:cs="Consolas" w:eastAsia="Consolas" w:hAnsi="Consolas"/>
          <w:b/>
          <w:bCs/>
          <w:color w:val="14181F"/>
          <w:sz w:val="16"/>
          <w:szCs w:val="16"/>
        </w:rPr>
        <w:t xml:space="preserve">Privacy Principle 11.2</w:t>
      </w:r>
    </w:p>
    <w:p>
      <w:pPr>
        <w:spacing w:after="160"/>
      </w:pPr>
      <w:r>
        <w:rPr>
          <w:color w:val="5B6672"/>
          <w:sz w:val="22"/>
          <w:szCs w:val="22"/>
        </w:rPr>
        <w:t xml:space="preserve">A “deleted” record in this app is soft-deleted — the row stays, marked, so deletion is recoverable. Left alone forever, that keeps personal information indefinitely. This script permanently removes soft-deleted leads, contacts, companies, deals, tasks and notes past a configurable retention window (default 365 days) — deliberately excluding Users and Organizations, since a departed member's referral history still belongs to whoever they're linked with.</w:t>
      </w:r>
    </w:p>
    <w:tbl>
      <w:tblPr>
        <w:tblW w:type="pct" w:w="100%"/>
        <w:tblBorders>
          <w:top w:val="single" w:color="14181F" w:sz="4"/>
          <w:left w:val="single" w:color="14181F" w:sz="4"/>
          <w:bottom w:val="single" w:color="14181F" w:sz="4"/>
          <w:right w:val="single" w:color="14181F" w:sz="4"/>
          <w:insideH w:val="none" w:color="14181F" w:sz="0"/>
          <w:insideV w:val="none" w:color="14181F" w:sz="0"/>
        </w:tblBorders>
      </w:tblPr>
      <w:tblGrid>
        <w:gridCol w:w="100"/>
      </w:tblGrid>
      <w:tr>
        <w:tc>
          <w:tcPr>
            <w:shd w:fill="14181F" w:val="clear"/>
            <w:tcMar>
              <w:top w:type="dxa" w:w="160"/>
              <w:left w:type="dxa" w:w="200"/>
              <w:bottom w:type="dxa" w:w="160"/>
              <w:right w:type="dxa" w:w="200"/>
            </w:tcMar>
          </w:tcPr>
          <w:p>
            <w:pPr>
              <w:spacing w:after="30"/>
            </w:pPr>
            <w:r>
              <w:rPr>
                <w:rFonts w:ascii="Consolas" w:cs="Consolas" w:eastAsia="Consolas" w:hAnsi="Consolas"/>
                <w:color w:val="7FE6C9"/>
                <w:sz w:val="18"/>
                <w:szCs w:val="18"/>
              </w:rPr>
              <w:t xml:space="preserve">$ npm run purge -- --dry-run</w:t>
            </w:r>
          </w:p>
          <w:p>
            <w:pPr>
              <w:spacing w:after="30"/>
            </w:pPr>
            <w:r>
              <w:rPr>
                <w:rFonts w:ascii="Consolas" w:cs="Consolas" w:eastAsia="Consolas" w:hAnsi="Consolas"/>
                <w:color w:val="D7E0E6"/>
                <w:sz w:val="18"/>
                <w:szCs w:val="18"/>
              </w:rPr>
              <w:t xml:space="preserve">[dry run] Purging records soft-deleted before 2025-07-22T10:05:34.094Z (retention: 365 days).</w:t>
            </w:r>
          </w:p>
          <w:p>
            <w:pPr>
              <w:spacing w:after="30"/>
            </w:pPr>
            <w:r>
              <w:rPr>
                <w:rFonts w:ascii="Consolas" w:cs="Consolas" w:eastAsia="Consolas" w:hAnsi="Consolas"/>
                <w:color w:val="D7E0E6"/>
                <w:sz w:val="18"/>
                <w:szCs w:val="18"/>
              </w:rPr>
              <w:t xml:space="preserve">  note: nothing to purge</w:t>
            </w:r>
          </w:p>
          <w:p>
            <w:pPr>
              <w:spacing w:after="30"/>
            </w:pPr>
            <w:r>
              <w:rPr>
                <w:rFonts w:ascii="Consolas" w:cs="Consolas" w:eastAsia="Consolas" w:hAnsi="Consolas"/>
                <w:color w:val="D7E0E6"/>
                <w:sz w:val="18"/>
                <w:szCs w:val="18"/>
              </w:rPr>
              <w:t xml:space="preserve">  task: nothing to purge</w:t>
            </w:r>
          </w:p>
          <w:p>
            <w:pPr>
              <w:spacing w:after="30"/>
            </w:pPr>
            <w:r>
              <w:rPr>
                <w:rFonts w:ascii="Consolas" w:cs="Consolas" w:eastAsia="Consolas" w:hAnsi="Consolas"/>
                <w:color w:val="D7E0E6"/>
                <w:sz w:val="18"/>
                <w:szCs w:val="18"/>
              </w:rPr>
              <w:t xml:space="preserve">  deal: nothing to purge</w:t>
            </w:r>
          </w:p>
          <w:p>
            <w:pPr>
              <w:spacing w:after="30"/>
            </w:pPr>
            <w:r>
              <w:rPr>
                <w:rFonts w:ascii="Consolas" w:cs="Consolas" w:eastAsia="Consolas" w:hAnsi="Consolas"/>
                <w:color w:val="D7E0E6"/>
                <w:sz w:val="18"/>
                <w:szCs w:val="18"/>
              </w:rPr>
              <w:t xml:space="preserve">  contact: nothing to purge</w:t>
            </w:r>
          </w:p>
          <w:p>
            <w:pPr>
              <w:spacing w:after="30"/>
            </w:pPr>
            <w:r>
              <w:rPr>
                <w:rFonts w:ascii="Consolas" w:cs="Consolas" w:eastAsia="Consolas" w:hAnsi="Consolas"/>
                <w:color w:val="D7E0E6"/>
                <w:sz w:val="18"/>
                <w:szCs w:val="18"/>
              </w:rPr>
              <w:t xml:space="preserve">  company: nothing to purge</w:t>
            </w:r>
          </w:p>
          <w:p>
            <w:pPr>
              <w:spacing w:after="30"/>
            </w:pPr>
            <w:r>
              <w:rPr>
                <w:rFonts w:ascii="Consolas" w:cs="Consolas" w:eastAsia="Consolas" w:hAnsi="Consolas"/>
                <w:color w:val="D7E0E6"/>
                <w:sz w:val="18"/>
                <w:szCs w:val="18"/>
              </w:rPr>
              <w:t xml:space="preserve">  lead: nothing to purge</w:t>
            </w:r>
          </w:p>
          <w:p>
            <w:pPr>
              <w:spacing w:after="30"/>
            </w:pPr>
            <w:r>
              <w:rPr>
                <w:rFonts w:ascii="Consolas" w:cs="Consolas" w:eastAsia="Consolas" w:hAnsi="Consolas"/>
                <w:color w:val="D7E0E6"/>
                <w:sz w:val="18"/>
                <w:szCs w:val="18"/>
              </w:rPr>
              <w:t xml:space="preserve">[dry run] 0 record(s) would be removed. Re-run without --dry-run to apply.</w:t>
            </w:r>
          </w:p>
        </w:tc>
      </w:tr>
    </w:tbl>
    <w:p>
      <w:pPr>
        <w:spacing w:after="220" w:before="90"/>
      </w:pPr>
      <w:r>
        <w:rPr>
          <w:i/>
          <w:iCs/>
          <w:color w:val="5B6672"/>
          <w:sz w:val="18"/>
          <w:szCs w:val="18"/>
        </w:rPr>
        <w:t xml:space="preserve">Dry run against the seeded database — nothing is old enough to purge yet, and nothing was changed.</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2"/>
        <w:sz w:val="16"/>
        <w:szCs w:val="16"/>
      </w:rPr>
      <w:t xml:space="preserve">nexclubV2 — internal verification memo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418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ddd87f8003cdbe57b324e4dc25c36e77bb6fa4.png"/><Relationship Id="rId9" Type="http://schemas.openxmlformats.org/officeDocument/2006/relationships/image" Target="media/4b4f008d9fbac0451bd02618eee0896997265a26.png"/><Relationship Id="rId10" Type="http://schemas.openxmlformats.org/officeDocument/2006/relationships/image" Target="media/3240814b5d92c026736995539a2a40086d40fa27.png"/><Relationship Id="rId11" Type="http://schemas.openxmlformats.org/officeDocument/2006/relationships/image" Target="media/d78587b63f22e8a4e983e54f1c0b539e21804cef.png"/><Relationship Id="rId12" Type="http://schemas.openxmlformats.org/officeDocument/2006/relationships/image" Target="media/845b3a975a15bb7fa677b9be4a1001eb88bc1965.png"/><Relationship Id="rId13" Type="http://schemas.openxmlformats.org/officeDocument/2006/relationships/image" Target="media/c0789fb1bf72f2cfb3c6b48cff4a9d2f8c9b50b8.png"/><Relationship Id="rId14" Type="http://schemas.openxmlformats.org/officeDocument/2006/relationships/image" Target="media/7af7df0f54b2e55e9588804f527c45037fcf9752.png"/><Relationship Id="rId15" Type="http://schemas.openxmlformats.org/officeDocument/2006/relationships/image" Target="media/9bb87cabda3957537242f9d61133825a6bfc174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2026-07-22T10:14:44.452Z</dcterms:created>
  <dcterms:modified xsi:type="dcterms:W3CDTF">2026-07-22T10:14:44.453Z</dcterms:modified>
</cp:coreProperties>
</file>

<file path=docProps/custom.xml><?xml version="1.0" encoding="utf-8"?>
<Properties xmlns="http://schemas.openxmlformats.org/officeDocument/2006/custom-properties" xmlns:vt="http://schemas.openxmlformats.org/officeDocument/2006/docPropsVTypes"/>
</file>