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293B"/>
          <w:sz w:val="60"/>
        </w:rPr>
        <w:t>SaaS Vendor Evaluation Standard</w:t>
      </w:r>
    </w:p>
    <w:p/>
    <w:p>
      <w:pPr>
        <w:jc w:val="center"/>
      </w:pPr>
      <w:r>
        <w:rPr>
          <w:i/>
          <w:color w:val="64748B"/>
          <w:sz w:val="32"/>
        </w:rPr>
        <w:t>Procurement Checklist &amp; Scoring Framework</w:t>
      </w:r>
    </w:p>
    <w:p/>
    <w:p/>
    <w:p>
      <w:pPr>
        <w:jc w:val="center"/>
        <w:pBdr>
          <w:bottom w:val="single" w:sz="6" w:space="1" w:color="3B82F6"/>
        </w:pBdr>
      </w:pPr>
    </w:p>
    <w:p/>
    <w:p>
      <w:pPr>
        <w:jc w:val="center"/>
      </w:pPr>
      <w:r>
        <w:rPr>
          <w:b/>
          <w:color w:val="3B82F6"/>
          <w:sz w:val="26"/>
        </w:rPr>
        <w:t>Powered by ComparEdge — comparedge.com</w:t>
      </w:r>
    </w:p>
    <w:p/>
    <w:p>
      <w:pPr>
        <w:jc w:val="center"/>
      </w:pPr>
      <w:r>
        <w:rPr>
          <w:color w:val="64748B"/>
          <w:sz w:val="24"/>
        </w:rPr>
        <w:t>Q2 2026</w:t>
      </w:r>
    </w:p>
    <w:p>
      <w:r>
        <w:br w:type="page"/>
      </w:r>
    </w:p>
    <w:p>
      <w:r>
        <w:rPr>
          <w:b/>
          <w:color w:val="1E293B"/>
          <w:sz w:val="36"/>
        </w:rPr>
        <w:t>How to Use This Template</w:t>
      </w:r>
    </w:p>
    <w:p/>
    <w:p>
      <w:r>
        <w:rPr>
          <w:sz w:val="21"/>
        </w:rPr>
        <w:t>This template provides a structured, repeatable framework for evaluating SaaS vendors before procurement. Each section covers a critical dimension of vendor fitness. Complete one copy of the evaluation matrix per vendor, then compare totals in the Decision Summary on the final page.</w:t>
      </w:r>
    </w:p>
    <w:p/>
    <w:p>
      <w:r>
        <w:rPr>
          <w:b/>
          <w:color w:val="1E293B"/>
          <w:sz w:val="28"/>
        </w:rPr>
        <w:t>Scoring Methodology (1–5 Scale)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4703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5 — Excellent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Fully meets or exceeds requirement; best-in-class.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4 — Good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Meets requirement with minor gaps.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3 — Adequate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Partially meets requirement; workarounds exist.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2 — Poor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Significant gaps; requires manual effort or third-party solutions.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1 — Fails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Does not meet requirement at all.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0 — N/A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Criterion not applicable to this vendor category.</w:t>
            </w:r>
          </w:p>
        </w:tc>
      </w:tr>
    </w:tbl>
    <w:p/>
    <w:p>
      <w:r>
        <w:rPr>
          <w:b/>
          <w:color w:val="1E293B"/>
          <w:sz w:val="28"/>
        </w:rPr>
        <w:t>Weight Categories (1–5)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4703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5 — Critical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Must-have; vendor fails evaluation if score &lt; 3.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4 — High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Strongly preferred; significant impact on decision.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3 — Medium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Important but compensatable by other strengths.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2 — Low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Nice-to-have; minimal impact on overall decision.</w:t>
            </w:r>
          </w:p>
        </w:tc>
      </w:tr>
      <w:tr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1 — Informational</w:t>
            </w:r>
          </w:p>
        </w:tc>
        <w:tc>
          <w:tcPr>
            <w:tcW w:type="dxa" w:w="4703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Track only; no impact on score calculation.</w:t>
            </w:r>
          </w:p>
        </w:tc>
      </w:tr>
    </w:tbl>
    <w:p/>
    <w:p>
      <w:r>
        <w:rPr>
          <w:b/>
          <w:color w:val="3B82F6"/>
          <w:sz w:val="20"/>
        </w:rPr>
        <w:t>Weighted Score = Weight × Score. Sum all Weighted Scores to produce the vendor's Total.</w:t>
      </w:r>
    </w:p>
    <w:p>
      <w:r>
        <w:br w:type="page"/>
      </w:r>
    </w:p>
    <w:p>
      <w:r>
        <w:rPr>
          <w:b/>
          <w:color w:val="1E293B"/>
          <w:sz w:val="36"/>
        </w:rPr>
        <w:t>Vendor Evaluation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685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1417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Weight (1-5)</w:t>
            </w:r>
          </w:p>
        </w:tc>
        <w:tc>
          <w:tcPr>
            <w:tcW w:type="dxa" w:w="1417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Score (1-5)</w:t>
            </w:r>
          </w:p>
        </w:tc>
        <w:tc>
          <w:tcPr>
            <w:tcW w:type="dxa" w:w="1701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Weighted Score</w:t>
            </w:r>
          </w:p>
        </w:tc>
        <w:tc>
          <w:tcPr>
            <w:tcW w:type="dxa" w:w="3118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9405"/>
            <w:gridSpan w:val="5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1. Pricing &amp; TCO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Per-seat cost transparency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Hidden fees (overages, API limits)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Contract flexibility (monthly vs annual)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Volume discounts available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Total 3-year projected cost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5"/>
            <w:gridSpan w:val="5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2. Security &amp; Compliance</w:t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SOC 2 Type II certification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GDPR compliance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SSO / SAML support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Data encryption (at rest + transit)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Incident response SLA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5"/>
            <w:gridSpan w:val="5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3. Integration &amp; API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REST API availability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Webhook support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Native integrations count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Data export capabilities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5"/>
            <w:gridSpan w:val="5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4. Support &amp; SLA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Support channels (chat, email, phone)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Response time SLA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Uptime guarantee (99.9%+)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Documentation quality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5"/>
            <w:gridSpan w:val="5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5. Product Fit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Feature coverage vs requirements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User adoption ease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Mobile support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Customization depth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24"/>
            <w:gridSpan w:val="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TOTAL SCORE</w:t>
            </w:r>
          </w:p>
        </w:tc>
        <w:tc>
          <w:tcPr>
            <w:tcW w:type="dxa" w:w="1881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</w:r>
          </w:p>
        </w:tc>
      </w:tr>
    </w:tbl>
    <w:p>
      <w:r>
        <w:br w:type="page"/>
      </w:r>
    </w:p>
    <w:p>
      <w:r>
        <w:rPr>
          <w:b/>
          <w:color w:val="DC2626"/>
          <w:sz w:val="36"/>
        </w:rPr>
        <w:t>⚠️  Red Flags Checklist</w:t>
      </w:r>
    </w:p>
    <w:p/>
    <w:p>
      <w:r>
        <w:rPr>
          <w:sz w:val="21"/>
        </w:rPr>
        <w:t>If any of the following apply to a vendor under evaluation, consider it a serious warning sign. Multiple red flags should disqualify the vendor from further consideration.</w:t>
      </w:r>
    </w:p>
    <w:p/>
    <w:p>
      <w:pPr>
        <w:pStyle w:val="ListBullet"/>
      </w:pPr>
      <w:r>
        <w:rPr>
          <w:b/>
          <w:color w:val="DC2626"/>
          <w:sz w:val="20"/>
        </w:rPr>
        <w:t xml:space="preserve">No public pricing page: </w:t>
      </w:r>
      <w:r>
        <w:rPr>
          <w:sz w:val="20"/>
        </w:rPr>
        <w:t>Indicates potential lack of transparency; expect high-pressure sales tactics and inflated quotes.</w:t>
      </w:r>
    </w:p>
    <w:p>
      <w:pPr>
        <w:pStyle w:val="ListBullet"/>
      </w:pPr>
      <w:r>
        <w:rPr>
          <w:b/>
          <w:color w:val="DC2626"/>
          <w:sz w:val="20"/>
        </w:rPr>
        <w:t xml:space="preserve">Requires annual commitment only: </w:t>
      </w:r>
      <w:r>
        <w:rPr>
          <w:sz w:val="20"/>
        </w:rPr>
        <w:t>No monthly billing option creates vendor lock-in and limits your ability to switch if needs change.</w:t>
      </w:r>
    </w:p>
    <w:p>
      <w:pPr>
        <w:pStyle w:val="ListBullet"/>
      </w:pPr>
      <w:r>
        <w:rPr>
          <w:b/>
          <w:color w:val="DC2626"/>
          <w:sz w:val="20"/>
        </w:rPr>
        <w:t xml:space="preserve">No data export option: </w:t>
      </w:r>
      <w:r>
        <w:rPr>
          <w:sz w:val="20"/>
        </w:rPr>
        <w:t>Your data is held hostage. Ensure full CSV/JSON export is available at all tiers.</w:t>
      </w:r>
    </w:p>
    <w:p>
      <w:pPr>
        <w:pStyle w:val="ListBullet"/>
      </w:pPr>
      <w:r>
        <w:rPr>
          <w:b/>
          <w:color w:val="DC2626"/>
          <w:sz w:val="20"/>
        </w:rPr>
        <w:t xml:space="preserve">No SOC 2 or equivalent: </w:t>
      </w:r>
      <w:r>
        <w:rPr>
          <w:sz w:val="20"/>
        </w:rPr>
        <w:t>Insufficient security posture for handling business-critical or sensitive data.</w:t>
      </w:r>
    </w:p>
    <w:p>
      <w:pPr>
        <w:pStyle w:val="ListBullet"/>
      </w:pPr>
      <w:r>
        <w:rPr>
          <w:b/>
          <w:color w:val="DC2626"/>
          <w:sz w:val="20"/>
        </w:rPr>
        <w:t xml:space="preserve">Support only via email: </w:t>
      </w:r>
      <w:r>
        <w:rPr>
          <w:sz w:val="20"/>
        </w:rPr>
        <w:t>No chat or phone support means slow resolution times for critical incidents.</w:t>
      </w:r>
    </w:p>
    <w:p>
      <w:pPr>
        <w:pStyle w:val="ListBullet"/>
      </w:pPr>
      <w:r>
        <w:rPr>
          <w:b/>
          <w:color w:val="DC2626"/>
          <w:sz w:val="20"/>
        </w:rPr>
        <w:t xml:space="preserve">No API access: </w:t>
      </w:r>
      <w:r>
        <w:rPr>
          <w:sz w:val="20"/>
        </w:rPr>
        <w:t>Prevents integration with your stack and automation of workflows.</w:t>
      </w:r>
    </w:p>
    <w:p>
      <w:pPr>
        <w:pStyle w:val="ListBullet"/>
      </w:pPr>
      <w:r>
        <w:rPr>
          <w:b/>
          <w:color w:val="DC2626"/>
          <w:sz w:val="20"/>
        </w:rPr>
        <w:t xml:space="preserve">Vendor lock-in risk (proprietary formats): </w:t>
      </w:r>
      <w:r>
        <w:rPr>
          <w:sz w:val="20"/>
        </w:rPr>
        <w:t>Data stored in formats only readable by this vendor's tools — migration becomes costly.</w:t>
      </w:r>
    </w:p>
    <w:p>
      <w:pPr>
        <w:pStyle w:val="ListBullet"/>
      </w:pPr>
      <w:r>
        <w:rPr>
          <w:b/>
          <w:color w:val="DC2626"/>
          <w:sz w:val="20"/>
        </w:rPr>
        <w:t xml:space="preserve">No uptime SLA or SLA below 99.5%: </w:t>
      </w:r>
      <w:r>
        <w:rPr>
          <w:sz w:val="20"/>
        </w:rPr>
        <w:t>Business-critical tools should guarantee at minimum 99.9% uptime with financial penalties.</w:t>
      </w:r>
    </w:p>
    <w:p>
      <w:pPr>
        <w:pStyle w:val="ListBullet"/>
      </w:pPr>
      <w:r>
        <w:rPr>
          <w:b/>
          <w:color w:val="DC2626"/>
          <w:sz w:val="20"/>
        </w:rPr>
        <w:t xml:space="preserve">Forced data residency in unknown regions: </w:t>
      </w:r>
      <w:r>
        <w:rPr>
          <w:sz w:val="20"/>
        </w:rPr>
        <w:t>May conflict with GDPR, HIPAA, or internal compliance requirements.</w:t>
      </w:r>
    </w:p>
    <w:p>
      <w:pPr>
        <w:pStyle w:val="ListBullet"/>
      </w:pPr>
      <w:r>
        <w:rPr>
          <w:b/>
          <w:color w:val="DC2626"/>
          <w:sz w:val="20"/>
        </w:rPr>
        <w:t xml:space="preserve">No product changelog or roadmap: </w:t>
      </w:r>
      <w:r>
        <w:rPr>
          <w:sz w:val="20"/>
        </w:rPr>
        <w:t>Suggests stagnant development and poor communication with customers.</w:t>
      </w:r>
    </w:p>
    <w:p/>
    <w:p>
      <w:pPr>
        <w:jc w:val="center"/>
      </w:pPr>
      <w:r>
        <w:rPr>
          <w:b/>
          <w:color w:val="3B82F6"/>
          <w:sz w:val="21"/>
        </w:rPr>
        <w:t>Recommendation Threshold: Vendors scoring below 60% of maximum possible Weighted Score should be eliminated regardless of pricing.</w:t>
      </w:r>
    </w:p>
    <w:p>
      <w:r>
        <w:br w:type="page"/>
      </w:r>
    </w:p>
    <w:p>
      <w:r>
        <w:rPr>
          <w:b/>
          <w:color w:val="1E293B"/>
          <w:sz w:val="36"/>
        </w:rPr>
        <w:t>Decision Summary</w:t>
      </w:r>
    </w:p>
    <w:p/>
    <w:p>
      <w:r>
        <w:rPr>
          <w:sz w:val="21"/>
        </w:rPr>
        <w:t>Transfer the total weighted scores from each vendor's evaluation matrix below. Fill in the recommendation, risk level, and agreed next steps to close the evaluation.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2351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Vendor A</w:t>
            </w:r>
          </w:p>
        </w:tc>
        <w:tc>
          <w:tcPr>
            <w:tcW w:type="dxa" w:w="2351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Vendor B</w:t>
            </w:r>
          </w:p>
        </w:tc>
        <w:tc>
          <w:tcPr>
            <w:tcW w:type="dxa" w:w="2351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Vendor C</w:t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Total Weighted Score</w:t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Max Possible Score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Score %</w:t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Recommendation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Risk Level</w:t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🟢 Low / 🟡 Medium / 🔴 High</w:t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🟢 Low / 🟡 Medium / 🔴 High</w:t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🟢 Low / 🟡 Medium / 🔴 High</w:t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Red Flags Count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Pricing ($/mo)</w:t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Contract Length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Decision</w:t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☐ Proceed  ☐ Reject</w:t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☐ Proceed  ☐ Reject</w:t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  <w:t>☐ Proceed  ☐ Reject</w:t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Next Steps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Owner</w:t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1F5F9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b/>
                <w:color w:val="1E293B"/>
                <w:sz w:val="19"/>
              </w:rPr>
              <w:t>Target Decision Date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5D1E8"/>
              <w:left w:val="single" w:sz="4" w:space="0" w:color="C5D1E8"/>
              <w:bottom w:val="single" w:sz="4" w:space="0" w:color="C5D1E8"/>
              <w:right w:val="single" w:sz="4" w:space="0" w:color="C5D1E8"/>
            </w:tcBorders>
          </w:tcPr>
          <w:p>
            <w:r>
              <w:rPr>
                <w:sz w:val="19"/>
              </w:rPr>
            </w:r>
          </w:p>
        </w:tc>
      </w:tr>
    </w:tbl>
    <w:p/>
    <w:p/>
    <w:p>
      <w:r>
        <w:rPr>
          <w:color w:val="6B7280"/>
          <w:sz w:val="19"/>
        </w:rPr>
        <w:t>Evaluation Completed By: ________________________   Date: ____________   Approved By: ________________________</w:t>
      </w:r>
    </w:p>
    <w:p/>
    <w:p>
      <w:pPr>
        <w:jc w:val="center"/>
      </w:pPr>
      <w:r>
        <w:rPr>
          <w:i/>
          <w:color w:val="3B82F6"/>
          <w:sz w:val="18"/>
        </w:rPr>
        <w:t>Benchmark data sourced from comparedge.com — 331 SaaS products evaluated across 28 categories.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5"/>
      </w:rPr>
      <w:t>Data benchmarks from comparedge.com — 331 products across 28 categories | API: comparedge-api.up.railway.app/docs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