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INFORME DE EJECUCIÓN PRELIMINAR</w:t>
      </w:r>
    </w:p>
    <w:p>
      <w:pPr>
        <w:spacing w:after="300"/>
        <w:jc w:val="center"/>
      </w:pPr>
      <w:r>
        <w:rPr>
          <w:rFonts w:ascii="Times New Roman" w:cs="Times New Roman" w:eastAsia="Times New Roman" w:hAnsi="Times New Roman"/>
          <w:i/>
          <w:iCs/>
          <w:sz w:val="22"/>
          <w:szCs w:val="22"/>
        </w:rPr>
        <w:t xml:space="preserve">Chatbot de Atención Ciudadana MPSR — Seminario de Tesis II, 2026-II</w:t>
      </w:r>
    </w:p>
    <w:p>
      <w:pPr>
        <w:spacing w:after="160" w:line="360" w:lineRule="auto"/>
      </w:pPr>
      <w:r>
        <w:rPr>
          <w:rFonts w:ascii="Times New Roman" w:cs="Times New Roman" w:eastAsia="Times New Roman" w:hAnsi="Times New Roman"/>
          <w:i/>
          <w:iCs/>
          <w:color w:val="000000"/>
          <w:sz w:val="22"/>
          <w:szCs w:val="22"/>
        </w:rPr>
        <w:t xml:space="preserve">Este informe demuestra que el pipeline técnico y estadístico definido en el Protocolo V1.1 funciona correctamente, de principio a fin. Se divide en dos partes claramente diferenciadas: una ejecución REAL sobre el corpus actual (Parte I) y una SIMULACIÓN ilustrativa del análisis estadístico del piloto (Parte II), ya que este último requiere trabajo de campo que excede el alcance temporal de este curso.</w:t>
      </w:r>
    </w:p>
    <w:p>
      <w:pPr>
        <w:pStyle w:val="Heading1"/>
        <w:spacing w:after="150" w:before="300"/>
        <w:jc w:val="left"/>
      </w:pPr>
      <w:r>
        <w:rPr>
          <w:rFonts w:ascii="Times New Roman" w:cs="Times New Roman" w:eastAsia="Times New Roman" w:hAnsi="Times New Roman"/>
          <w:b/>
          <w:bCs/>
          <w:color w:val="000000"/>
          <w:sz w:val="28"/>
          <w:szCs w:val="28"/>
        </w:rPr>
        <w:t xml:space="preserve">PARTE I — Ejecución real (P07): Baseline TF-IDF + SVM</w:t>
      </w:r>
    </w:p>
    <w:p>
      <w:pPr>
        <w:spacing w:after="160" w:line="360" w:lineRule="auto"/>
      </w:pPr>
      <w:r>
        <w:rPr>
          <w:rFonts w:ascii="Times New Roman" w:cs="Times New Roman" w:eastAsia="Times New Roman" w:hAnsi="Times New Roman"/>
          <w:color w:val="000000"/>
          <w:sz w:val="22"/>
          <w:szCs w:val="22"/>
        </w:rPr>
        <w:t xml:space="preserve">Corpus utilizado: corpus_metadata.csv (648 utterances, 54 intenciones, 9 categorías). Partición: train=486, validation=81, test=81 (semilla=42). Vectorizador: TF-IDF (max_features=5000, ngram_range=[1,2]).</w:t>
      </w:r>
    </w:p>
    <w:p>
      <w:pPr>
        <w:pStyle w:val="Heading2"/>
        <w:spacing w:after="100" w:before="200"/>
      </w:pPr>
      <w:r>
        <w:rPr>
          <w:rFonts w:ascii="Times New Roman" w:cs="Times New Roman" w:eastAsia="Times New Roman" w:hAnsi="Times New Roman"/>
          <w:b/>
          <w:bCs/>
          <w:color w:val="000000"/>
          <w:sz w:val="24"/>
          <w:szCs w:val="24"/>
        </w:rPr>
        <w:t xml:space="preserve">Grilla de hiperparámetros evaluada en validación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40404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C (SVM)</w:t>
            </w:r>
          </w:p>
        </w:tc>
        <w:tc>
          <w:tcPr>
            <w:tcW w:type="dxa" w:w="3000"/>
            <w:shd w:fill="40404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F1-macro (validación)</w:t>
            </w:r>
          </w:p>
        </w:tc>
      </w:tr>
      <w:tr>
        <w:tc>
          <w:tcPr>
            <w:tcW w:type="dxa" w:w="30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bCs/>
                <w:color w:val="000000"/>
                <w:sz w:val="20"/>
                <w:szCs w:val="20"/>
              </w:rPr>
              <w:t xml:space="preserve">0.1  (seleccionado)</w:t>
            </w:r>
          </w:p>
        </w:tc>
        <w:tc>
          <w:tcPr>
            <w:tcW w:type="dxa" w:w="30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0.6303</w:t>
            </w:r>
          </w:p>
        </w:tc>
      </w:tr>
      <w:tr>
        <w:tc>
          <w:tcPr>
            <w:tcW w:type="dxa" w:w="30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30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0.6179</w:t>
            </w:r>
          </w:p>
        </w:tc>
      </w:tr>
      <w:tr>
        <w:tc>
          <w:tcPr>
            <w:tcW w:type="dxa" w:w="30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10</w:t>
            </w:r>
          </w:p>
        </w:tc>
        <w:tc>
          <w:tcPr>
            <w:tcW w:type="dxa" w:w="30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0.5829</w:t>
            </w:r>
          </w:p>
        </w:tc>
      </w:tr>
    </w:tbl>
    <w:p>
      <w:r>
        <w:br/>
        <w:t xml:space="preserve"/>
      </w:r>
    </w:p>
    <w:p>
      <w:pPr>
        <w:spacing w:after="160" w:line="360" w:lineRule="auto"/>
      </w:pPr>
      <w:r>
        <w:rPr>
          <w:rFonts w:ascii="Times New Roman" w:cs="Times New Roman" w:eastAsia="Times New Roman" w:hAnsi="Times New Roman"/>
          <w:color w:val="000000"/>
          <w:sz w:val="22"/>
          <w:szCs w:val="22"/>
        </w:rPr>
        <w:t xml:space="preserve">Alternativa de regresión logística (C=1.0): F1-macro en validación = 0.5894.</w:t>
      </w:r>
    </w:p>
    <w:p>
      <w:pPr>
        <w:pStyle w:val="Heading2"/>
        <w:spacing w:after="100" w:before="200"/>
      </w:pPr>
      <w:r>
        <w:rPr>
          <w:rFonts w:ascii="Times New Roman" w:cs="Times New Roman" w:eastAsia="Times New Roman" w:hAnsi="Times New Roman"/>
          <w:b/>
          <w:bCs/>
          <w:color w:val="000000"/>
          <w:sz w:val="24"/>
          <w:szCs w:val="24"/>
        </w:rPr>
        <w:t xml:space="preserve">Métricas finales sobre el conjunto de prueba (test)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tblGrid>
      <w:tr>
        <w:trPr>
          <w:tblHeader/>
        </w:trPr>
        <w:tc>
          <w:tcPr>
            <w:tcW w:type="dxa" w:w="3400"/>
            <w:shd w:fill="40404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Métrica</w:t>
            </w:r>
          </w:p>
        </w:tc>
        <w:tc>
          <w:tcPr>
            <w:tcW w:type="dxa" w:w="2600"/>
            <w:shd w:fill="40404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Valor (test)</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Accuracy</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0.642</w:t>
            </w:r>
          </w:p>
        </w:tc>
      </w:tr>
      <w:tr>
        <w:tc>
          <w:tcPr>
            <w:tcW w:type="dxa" w:w="34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Precision macro</w:t>
            </w:r>
          </w:p>
        </w:tc>
        <w:tc>
          <w:tcPr>
            <w:tcW w:type="dxa" w:w="26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0.6631</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Recall macro</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0.5417</w:t>
            </w:r>
          </w:p>
        </w:tc>
      </w:tr>
      <w:tr>
        <w:tc>
          <w:tcPr>
            <w:tcW w:type="dxa" w:w="34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F1 macro</w:t>
            </w:r>
          </w:p>
        </w:tc>
        <w:tc>
          <w:tcPr>
            <w:tcW w:type="dxa" w:w="26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0.5614</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Balanced Accuracy</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0.642</w:t>
            </w:r>
          </w:p>
        </w:tc>
      </w:tr>
    </w:tbl>
    <w:p>
      <w:r>
        <w:br/>
        <w:t xml:space="preserve"/>
      </w:r>
    </w:p>
    <w:p>
      <w:pPr>
        <w:pStyle w:val="Heading2"/>
        <w:spacing w:after="100" w:before="200"/>
      </w:pPr>
      <w:r>
        <w:rPr>
          <w:rFonts w:ascii="Times New Roman" w:cs="Times New Roman" w:eastAsia="Times New Roman" w:hAnsi="Times New Roman"/>
          <w:b/>
          <w:bCs/>
          <w:color w:val="000000"/>
          <w:sz w:val="24"/>
          <w:szCs w:val="24"/>
        </w:rPr>
        <w:t xml:space="preserve">Interpretación honesta del resultado: antes y después de ampliar el corpus</w:t>
      </w:r>
    </w:p>
    <w:p>
      <w:pPr>
        <w:spacing w:after="160" w:line="360" w:lineRule="auto"/>
      </w:pPr>
      <w:r>
        <w:rPr>
          <w:rFonts w:ascii="Times New Roman" w:cs="Times New Roman" w:eastAsia="Times New Roman" w:hAnsi="Times New Roman"/>
          <w:color w:val="000000"/>
          <w:sz w:val="22"/>
          <w:szCs w:val="22"/>
        </w:rPr>
        <w:t xml:space="preserve">Para validar la hipótesis de que el tamaño del corpus era la causa del bajo desempeño, se repitió exactamente el mismo experimento (mismo pipeline, mismo seed) después de ampliar el corpus de 2 a 4 grupos de paráfrasis por intención (324 → 648 utterances), con una partición corregida para asignar más ejemplos a entrenamiento por intención:</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tblGrid>
      <w:tr>
        <w:trPr>
          <w:tblHeader/>
        </w:trPr>
        <w:tc>
          <w:tcPr>
            <w:tcW w:type="dxa" w:w="2000"/>
            <w:shd w:fill="40404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Métrica</w:t>
            </w:r>
          </w:p>
        </w:tc>
        <w:tc>
          <w:tcPr>
            <w:tcW w:type="dxa" w:w="2300"/>
            <w:shd w:fill="40404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Corpus inicial (324 utt., ~3 ej./intención en train)</w:t>
            </w:r>
          </w:p>
        </w:tc>
        <w:tc>
          <w:tcPr>
            <w:tcW w:type="dxa" w:w="2300"/>
            <w:shd w:fill="404040"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Corpus ampliado (648 utt., ~9 ej./intención en train)</w:t>
            </w:r>
          </w:p>
        </w:tc>
      </w:tr>
      <w:tr>
        <w:tc>
          <w:tcPr>
            <w:tcW w:type="dxa" w:w="20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bCs/>
                <w:color w:val="000000"/>
                <w:sz w:val="20"/>
                <w:szCs w:val="20"/>
              </w:rPr>
              <w:t xml:space="preserve">F1 macro</w:t>
            </w:r>
          </w:p>
        </w:tc>
        <w:tc>
          <w:tcPr>
            <w:tcW w:type="dxa" w:w="23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0.2975</w:t>
            </w:r>
          </w:p>
        </w:tc>
        <w:tc>
          <w:tcPr>
            <w:tcW w:type="dxa" w:w="23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006100"/>
                <w:sz w:val="20"/>
                <w:szCs w:val="20"/>
              </w:rPr>
              <w:t xml:space="preserve">0.5614</w:t>
            </w:r>
          </w:p>
        </w:tc>
      </w:tr>
      <w:tr>
        <w:tc>
          <w:tcPr>
            <w:tcW w:type="dxa" w:w="20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color w:val="000000"/>
                <w:sz w:val="20"/>
                <w:szCs w:val="20"/>
              </w:rPr>
              <w:t xml:space="preserve">Accuracy</w:t>
            </w:r>
          </w:p>
        </w:tc>
        <w:tc>
          <w:tcPr>
            <w:tcW w:type="dxa" w:w="23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0.3827</w:t>
            </w:r>
          </w:p>
        </w:tc>
        <w:tc>
          <w:tcPr>
            <w:tcW w:type="dxa" w:w="23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006100"/>
                <w:sz w:val="20"/>
                <w:szCs w:val="20"/>
              </w:rPr>
              <w:t xml:space="preserve">0.642</w:t>
            </w:r>
          </w:p>
        </w:tc>
      </w:tr>
      <w:tr>
        <w:tc>
          <w:tcPr>
            <w:tcW w:type="dxa" w:w="20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bCs/>
                <w:color w:val="000000"/>
                <w:sz w:val="20"/>
                <w:szCs w:val="20"/>
              </w:rPr>
              <w:t xml:space="preserve">Balanced Accuracy</w:t>
            </w:r>
          </w:p>
        </w:tc>
        <w:tc>
          <w:tcPr>
            <w:tcW w:type="dxa" w:w="23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0.3827</w:t>
            </w:r>
          </w:p>
        </w:tc>
        <w:tc>
          <w:tcPr>
            <w:tcW w:type="dxa" w:w="23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006100"/>
                <w:sz w:val="20"/>
                <w:szCs w:val="20"/>
              </w:rPr>
              <w:t xml:space="preserve">0.642</w:t>
            </w:r>
          </w:p>
        </w:tc>
      </w:tr>
    </w:tbl>
    <w:p>
      <w:r>
        <w:br/>
        <w:t xml:space="preserve"/>
      </w:r>
    </w:p>
    <w:p>
      <w:pPr>
        <w:spacing w:after="160" w:line="360" w:lineRule="auto"/>
      </w:pPr>
      <w:r>
        <w:rPr>
          <w:rFonts w:ascii="Times New Roman" w:cs="Times New Roman" w:eastAsia="Times New Roman" w:hAnsi="Times New Roman"/>
          <w:color w:val="000000"/>
          <w:sz w:val="22"/>
          <w:szCs w:val="22"/>
        </w:rPr>
        <w:t xml:space="preserve">El F1-macro casi se duplicó (0.30 → 0.5614) solo por ampliar el corpus, sin cambiar el modelo ni los hiperparámetros — confirmando empíricamente que el tamaño del corpus, y no el método, era el factor limitante. El valor sigue por debajo de la meta del protocolo (F1 ≥ 0.85), lo cual es consistente con que 648 utterances para 54 intenciones sigue siendo un corpus de arranque: antes del entrenamiento final se requiere ampliarlo más y contrastarlo con el TUPA oficial de la MPSR. El pipeline de extracción de características, entrenamiento, selección por validación y evaluación en test — que es lo que este curso pide demostrar — funciona correctamente de principio a fin, y además demuestra su utilidad real para diagnosticar y corregir el proyecto.</w:t>
      </w:r>
    </w:p>
    <w:p>
      <w:pPr>
        <w:pStyle w:val="Heading1"/>
        <w:spacing w:after="150" w:before="300"/>
        <w:jc w:val="left"/>
      </w:pPr>
      <w:r>
        <w:rPr>
          <w:rFonts w:ascii="Times New Roman" w:cs="Times New Roman" w:eastAsia="Times New Roman" w:hAnsi="Times New Roman"/>
          <w:b/>
          <w:bCs/>
          <w:color w:val="000000"/>
          <w:sz w:val="28"/>
          <w:szCs w:val="28"/>
        </w:rPr>
        <w:t xml:space="preserve">PARTE II — Simulación ilustrativa (P14): Análisis estadístico del piloto</w:t>
      </w:r>
    </w:p>
    <w:p>
      <w:pPr>
        <w:pBdr>
          <w:top w:val="single" w:color="C00000" w:sz="12"/>
          <w:bottom w:val="single" w:color="C00000" w:sz="12"/>
          <w:left w:val="single" w:color="C00000" w:sz="12"/>
          <w:right w:val="single" w:color="C00000" w:sz="12"/>
        </w:pBdr>
        <w:shd w:fill="FFF2CC" w:val="clear"/>
        <w:spacing w:after="150" w:before="150"/>
      </w:pPr>
      <w:r>
        <w:rPr>
          <w:rFonts w:ascii="Times New Roman" w:cs="Times New Roman" w:eastAsia="Times New Roman" w:hAnsi="Times New Roman"/>
          <w:b/>
          <w:bCs/>
          <w:color w:val="C00000"/>
          <w:sz w:val="22"/>
          <w:szCs w:val="22"/>
        </w:rPr>
        <w:t xml:space="preserve">⚠ ADVERTENCIA: La línea base (pre) de esta sección proviene de Encuestas_simuladas_TramiFacil_MPSR_120_v2.xlsx, un archivo generado por el propio tesista para esta demostración del curso — NO es trabajo de campo real con ciudadanos. El post-test (chatbot) es además completamente SIMULADO por el script, pareado por ID con la línea base. Se incluyen únicamente para demostrar que el pipeline de análisis estadístico (Shapiro-Wilk → t de Student pareada / Wilcoxon) definido en el protocolo funciona correctamente de principio a fin, incluyendo la selección automática entre ambas pruebas según el resultado de normalidad. Estos valores deben reemplazarse por datos reales antes de reportarse como hallazgos de la tesis.</w:t>
      </w:r>
    </w:p>
    <w:p>
      <w:pPr>
        <w:spacing w:after="160" w:line="360" w:lineRule="auto"/>
      </w:pPr>
      <w:r>
        <w:rPr>
          <w:rFonts w:ascii="Times New Roman" w:cs="Times New Roman" w:eastAsia="Times New Roman" w:hAnsi="Times New Roman"/>
          <w:color w:val="000000"/>
          <w:sz w:val="22"/>
          <w:szCs w:val="22"/>
        </w:rPr>
        <w:t xml:space="preserve">Muestra: n = 119 (pareada, mismo sujeto antes/después; línea base tomada del archivo de P01, 1 caso excluido por dato faltante en P10), semilla = 42.</w:t>
      </w:r>
    </w:p>
    <w:p>
      <w:pPr>
        <w:pStyle w:val="Heading2"/>
        <w:spacing w:after="100" w:before="200"/>
      </w:pPr>
      <w:r>
        <w:rPr>
          <w:rFonts w:ascii="Times New Roman" w:cs="Times New Roman" w:eastAsia="Times New Roman" w:hAnsi="Times New Roman"/>
          <w:b/>
          <w:bCs/>
          <w:color w:val="000000"/>
          <w:sz w:val="24"/>
          <w:szCs w:val="24"/>
        </w:rPr>
        <w:t xml:space="preserve">Variable: Tiempo de atención (minutos)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tblGrid>
      <w:tr>
        <w:trPr>
          <w:tblHeader/>
        </w:trPr>
        <w:tc>
          <w:tcPr>
            <w:tcW w:type="dxa" w:w="3400"/>
            <w:shd w:fill="8E7CC3"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Estadístico</w:t>
            </w:r>
          </w:p>
        </w:tc>
        <w:tc>
          <w:tcPr>
            <w:tcW w:type="dxa" w:w="2600"/>
            <w:shd w:fill="8E7CC3"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Valor</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n</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119</w:t>
            </w:r>
          </w:p>
        </w:tc>
      </w:tr>
      <w:tr>
        <w:tc>
          <w:tcPr>
            <w:tcW w:type="dxa" w:w="34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Media pre</w:t>
            </w:r>
          </w:p>
        </w:tc>
        <w:tc>
          <w:tcPr>
            <w:tcW w:type="dxa" w:w="26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88.97</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Media post</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33.26</w:t>
            </w:r>
          </w:p>
        </w:tc>
      </w:tr>
      <w:tr>
        <w:tc>
          <w:tcPr>
            <w:tcW w:type="dxa" w:w="34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Diferencia media</w:t>
            </w:r>
          </w:p>
        </w:tc>
        <w:tc>
          <w:tcPr>
            <w:tcW w:type="dxa" w:w="26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-55.71</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Shapiro-Wilk (p)</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0</w:t>
            </w:r>
          </w:p>
        </w:tc>
      </w:tr>
      <w:tr>
        <w:tc>
          <w:tcPr>
            <w:tcW w:type="dxa" w:w="34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¿Normalidad cumplida?</w:t>
            </w:r>
          </w:p>
        </w:tc>
        <w:tc>
          <w:tcPr>
            <w:tcW w:type="dxa" w:w="26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No</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Prueba aplicada</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Wilcoxon (rangos con signo)</w:t>
            </w:r>
          </w:p>
        </w:tc>
      </w:tr>
      <w:tr>
        <w:tc>
          <w:tcPr>
            <w:tcW w:type="dxa" w:w="34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Estadístico</w:t>
            </w:r>
          </w:p>
        </w:tc>
        <w:tc>
          <w:tcPr>
            <w:tcW w:type="dxa" w:w="26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0</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p-value</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&lt; 0.0001</w:t>
            </w:r>
          </w:p>
        </w:tc>
      </w:tr>
      <w:tr>
        <w:tc>
          <w:tcPr>
            <w:tcW w:type="dxa" w:w="34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d de Cohen</w:t>
            </w:r>
          </w:p>
        </w:tc>
        <w:tc>
          <w:tcPr>
            <w:tcW w:type="dxa" w:w="26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-1.034</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Decisión H0 (α=0.05)</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Se rechaza H0 (diferencia significativa)</w:t>
            </w:r>
          </w:p>
        </w:tc>
      </w:tr>
    </w:tbl>
    <w:p>
      <w:r>
        <w:br/>
        <w:t xml:space="preserve"/>
      </w:r>
    </w:p>
    <w:p>
      <w:pPr>
        <w:spacing w:after="160" w:line="360" w:lineRule="auto"/>
      </w:pPr>
      <w:r>
        <w:rPr>
          <w:rFonts w:ascii="Times New Roman" w:cs="Times New Roman" w:eastAsia="Times New Roman" w:hAnsi="Times New Roman"/>
          <w:color w:val="000000"/>
          <w:sz w:val="22"/>
          <w:szCs w:val="22"/>
        </w:rPr>
        <w:t xml:space="preserve">Reducción promedio simulada: 62.3% (meta del protocolo: ≥ 60%).</w:t>
      </w:r>
    </w:p>
    <w:p>
      <w:pPr>
        <w:pStyle w:val="Heading2"/>
        <w:spacing w:after="100" w:before="200"/>
      </w:pPr>
      <w:r>
        <w:rPr>
          <w:rFonts w:ascii="Times New Roman" w:cs="Times New Roman" w:eastAsia="Times New Roman" w:hAnsi="Times New Roman"/>
          <w:b/>
          <w:bCs/>
          <w:color w:val="000000"/>
          <w:sz w:val="24"/>
          <w:szCs w:val="24"/>
        </w:rPr>
        <w:t xml:space="preserve">Variable: Satisfacción (Likert 1-5)</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tblGrid>
      <w:tr>
        <w:trPr>
          <w:tblHeader/>
        </w:trPr>
        <w:tc>
          <w:tcPr>
            <w:tcW w:type="dxa" w:w="3400"/>
            <w:shd w:fill="8E7CC3"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Estadístico</w:t>
            </w:r>
          </w:p>
        </w:tc>
        <w:tc>
          <w:tcPr>
            <w:tcW w:type="dxa" w:w="2600"/>
            <w:shd w:fill="8E7CC3"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20"/>
                <w:szCs w:val="20"/>
              </w:rPr>
              <w:t xml:space="preserve">Valor</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n</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119</w:t>
            </w:r>
          </w:p>
        </w:tc>
      </w:tr>
      <w:tr>
        <w:tc>
          <w:tcPr>
            <w:tcW w:type="dxa" w:w="34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Media pre</w:t>
            </w:r>
          </w:p>
        </w:tc>
        <w:tc>
          <w:tcPr>
            <w:tcW w:type="dxa" w:w="26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2.98</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Media post</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4</w:t>
            </w:r>
          </w:p>
        </w:tc>
      </w:tr>
      <w:tr>
        <w:tc>
          <w:tcPr>
            <w:tcW w:type="dxa" w:w="34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Diferencia media</w:t>
            </w:r>
          </w:p>
        </w:tc>
        <w:tc>
          <w:tcPr>
            <w:tcW w:type="dxa" w:w="26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1.02</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Shapiro-Wilk (p)</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0</w:t>
            </w:r>
          </w:p>
        </w:tc>
      </w:tr>
      <w:tr>
        <w:tc>
          <w:tcPr>
            <w:tcW w:type="dxa" w:w="34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¿Normalidad cumplida?</w:t>
            </w:r>
          </w:p>
        </w:tc>
        <w:tc>
          <w:tcPr>
            <w:tcW w:type="dxa" w:w="26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No</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Prueba aplicada</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Wilcoxon (rangos con signo)</w:t>
            </w:r>
          </w:p>
        </w:tc>
      </w:tr>
      <w:tr>
        <w:tc>
          <w:tcPr>
            <w:tcW w:type="dxa" w:w="34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Estadístico</w:t>
            </w:r>
          </w:p>
        </w:tc>
        <w:tc>
          <w:tcPr>
            <w:tcW w:type="dxa" w:w="26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0</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p-value</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&lt; 0.0001</w:t>
            </w:r>
          </w:p>
        </w:tc>
      </w:tr>
      <w:tr>
        <w:tc>
          <w:tcPr>
            <w:tcW w:type="dxa" w:w="340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d de Cohen</w:t>
            </w:r>
          </w:p>
        </w:tc>
        <w:tc>
          <w:tcPr>
            <w:tcW w:type="dxa" w:w="2600"/>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color w:val="000000"/>
                <w:sz w:val="20"/>
                <w:szCs w:val="20"/>
              </w:rPr>
              <w:t xml:space="preserve">1.954</w:t>
            </w:r>
          </w:p>
        </w:tc>
      </w:tr>
      <w:tr>
        <w:tc>
          <w:tcPr>
            <w:tcW w:type="dxa" w:w="3400"/>
            <w:shd w:fill="FFFFFF" w:val="clear"/>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color w:val="000000"/>
                <w:sz w:val="20"/>
                <w:szCs w:val="20"/>
              </w:rPr>
              <w:t xml:space="preserve">Decisión H0 (α=0.05)</w:t>
            </w:r>
          </w:p>
        </w:tc>
        <w:tc>
          <w:tcPr>
            <w:tcW w:type="dxa" w:w="2600"/>
            <w:shd w:fill="FFFFFF"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Se rechaza H0 (diferencia significativa)</w:t>
            </w:r>
          </w:p>
        </w:tc>
      </w:tr>
    </w:tbl>
    <w:p>
      <w:r>
        <w:br/>
        <w:t xml:space="preserve"/>
      </w:r>
    </w:p>
    <w:p>
      <w:pPr>
        <w:pStyle w:val="Heading2"/>
        <w:spacing w:after="100" w:before="200"/>
      </w:pPr>
      <w:r>
        <w:rPr>
          <w:rFonts w:ascii="Times New Roman" w:cs="Times New Roman" w:eastAsia="Times New Roman" w:hAnsi="Times New Roman"/>
          <w:b/>
          <w:bCs/>
          <w:color w:val="000000"/>
          <w:sz w:val="24"/>
          <w:szCs w:val="24"/>
        </w:rPr>
        <w:t xml:space="preserve">Conclusión de la demostración</w:t>
      </w:r>
    </w:p>
    <w:p>
      <w:pPr>
        <w:spacing w:after="160" w:line="360" w:lineRule="auto"/>
      </w:pPr>
      <w:r>
        <w:rPr>
          <w:rFonts w:ascii="Times New Roman" w:cs="Times New Roman" w:eastAsia="Times New Roman" w:hAnsi="Times New Roman"/>
          <w:color w:val="000000"/>
          <w:sz w:val="22"/>
          <w:szCs w:val="22"/>
        </w:rPr>
        <w:t xml:space="preserve">El pipeline completo —desde el entrenamiento del clasificador hasta la prueba de hipótesis final— se ejecutó sin errores y produce resultados interpretables en ambas partes. La Parte I usa el corpus real (aunque inicial) y expone honestamente una limitación real (corpus pequeño) junto con el camino para resolverla. La Parte II demuestra, con n=119, que el mecanismo de selección automática entre pruebas funciona correctamente: al no cumplirse el supuesto de normalidad (Shapiro-Wilk p&lt;0.001 en ambas variables, esperable por el formato categórico de los rangos de tiempo), el pipeline aplicó correctamente la alternativa no paramétrica (Wilcoxon) en lugar de la t de Student, tal como exige el protocolo. El procedimiento queda listo para ejecutarse con datos de campo reales en la fase de tesis.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Informe de Ejecución Preliminar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2026-10-02T20:03:02.129Z</dcterms:created>
  <dcterms:modified xsi:type="dcterms:W3CDTF">2026-10-02T20:03:02.131Z</dcterms:modified>
</cp:coreProperties>
</file>

<file path=docProps/custom.xml><?xml version="1.0" encoding="utf-8"?>
<Properties xmlns="http://schemas.openxmlformats.org/officeDocument/2006/custom-properties" xmlns:vt="http://schemas.openxmlformats.org/officeDocument/2006/docPropsVTypes"/>
</file>