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 / post-test), de temporalidad transversal, siguiendo un método hipotético-deductivo. El pre-test corresponde al diagnóstico de OE1 (línea base de tiempos y limitaciones de la atención presencial/TramiFácil) y el post-test a la medición de OE3 y OE4 tras el despliegue del chatbot.</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trámite/consulta atendida por los canales actuales (ventanilla presencial y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50 intenciones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n = 120, siguiendo el antecedente de Vargas Ríos, 2022).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(TUPA, FAQs, TramiFácil o construcción manual),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Diagnóstico OE1 (línea base de tiempos). Muestreo probabilístico estratificado, usando como estratos las 9 categorías de trámite del Corpus MPSR-Bot, con afijación proporcional al volumen mensual de cada categoría registrado por la Plataforma de Atención. Instrumento: ficha de observación/registro de tiempos (hora de inicio y hora de atención finalizada) aplicada por el personal de la Plataforma durante dos semanas consecutivas. Tamaño de muestra: se calculará con la fórmula para poblaciones finitas n = (N·Z²·p·q) / (e²·(N−1) + Z²·p·q), con Z = 1.96 (confianza 95 %), p = q = 0.5 (máxima variabilidad) y e = 5 %, usando como N el promedio mensual de atenciones que reporte la MPSR; como referencia preliminar (N ≈ 400 atenciones/mes, e = 7.5 %) el cálculo arroja n ≈ 120, cifra que se confirmará con el dato oficial antes de iniciar el registro. Se fija un mínimo de 10 observaciones por categoría para asegurar representatividad de las 9 categorías.</w:t>
      </w:r>
    </w:p>
    <w:p>
      <w:pPr>
        <w:spacing w:after="0" w:line="480" w:lineRule="auto"/>
        <w:ind w:firstLine="720"/>
        <w:jc w:val="left"/>
      </w:pPr>
      <w:r>
        <w:rPr>
          <w:rFonts w:ascii="Times New Roman" w:cs="Times New Roman" w:eastAsia="Times New Roman" w:hAnsi="Times New Roman"/>
          <w:color w:val="000000"/>
          <w:sz w:val="24"/>
          <w:szCs w:val="24"/>
        </w:rPr>
        <w:t xml:space="preserve">Encuesta de satisfacción OE4 (n = 120). Muestreo probabilístico aleatorio simple entre los ciudadanos que completen al menos una interacción con el chatbot durante el periodo piloto. Criterio de inclusión: haber recibido una respuesta del chatbot a su consulta. Criterio de exclusión: conversaciones abandonadas antes de obtener respuesta. Justificación del tamaño: aplicando la misma fórmula de poblaciones finitas con N ≈ 400 (estimado de atenciones mensuales), Z = 1.96, p = q = 0.5 y e = 7.5 %, se obtiene n ≈ 120, valor que además coincide con el antecedente nacional de Vargas Ríos (2022) en un contexto municipal similar.</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para el diagnóstico (OE1, línea base) y para la encuesta de satisfacción (OE4),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50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pasarán por normalización de texto (minúsculas, tildes, jerga local de Juliaca/Puno), limpieza y tokenización. División: 70 % entrenamiento, 15 % validación y 15 % prueba, con semilla registrada (random_seed = 42). Cuando existan varias paráfrasis de una misma frase base, la partición se realizará por grupo (base_phrase_id), de modo que todas las variantes de un mismo grupo permanezcan en un único subconjunto. El conjunto de prueba no se usará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un diseño pre-test/post-test de un solo grupo: el pre-test es el diagnóstico de OE1 (tiempos y limitaciones de la atención presencial/TramiFácil) y el post-test es la medición de OE3 (tiempo de respuesta con el chatbot) y OE4 (satisfacción ciudadana).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3. Protocolo experimental V1.0</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validación con usuarios (piloto) → verificación de supuestos → análisis estadístico → reproducibilidad → incidencias.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90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24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69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P01</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Diagnóstico de canales actuales (OE1)</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Relevar tiempos de la atención presencial y de TramiFácil. Instrumento: ficha de observación/registro de tiempos aplicada por el personal de la Plataforma durante 2 semanas. Muestreo estratificado por las 9 categorías (afijación proporcional), tamaño calculado con fórmula de poblaciones finitas (Z=1.96, p=q=0.5, e=5%, N=promedio mensual de atenciones MPSR; referencia preliminar n≈120 con N≈400 y e=7.5%). Mínimo 10 observaciones por categoría. Constituye la línea base (pre-test) para OE3.</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P02</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Adquisición y registro del corpus (OE2)</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Registrar fuente (TUPA/FAQs/TramiFácil/manual), fecha/versión, nº de utterances, intenciones y categorías. Crear corpus_metadata.csv con utterance_id, intent, category, source, base_phrase_id y split.</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P03</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Auditoría inicial (OE2)</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Verificar duplicados (similitud de Jaccard o Levenshtein normalizada ≥ 0.90 dentro de la misma intención), utterances ambiguas, distribución por intención/categoría y desbalance entre las 50 intenciones. Evidencias: corpus_audit.csv y reporte de auditoría.</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P04</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Control de fuga por paráfrasis (OE2)</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Agrupar variantes de una misma frase base (umbral de similitud ≥ 0.90) con base_phrase_id. Ningún grupo podrá aparecer repartido entre train, validation y test.</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P05</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División de datos (OE2)</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Aplicar partición 70/15/15 con semilla registrada (42); agrupar por base_phrase_id. Registrar en dataset_split.csv. El test permanece aislado hasta la evaluación final.</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P06</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Preprocesamiento NLU (OE2)</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Normalización de texto (minúsculas, tildes, jerga local), tokenización y featurización (TF-IDF para baseline; CountVectors/embeddings para Rasa).</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P07</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Experimento baseline (ML) (OE2)</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Pipeline: utterance → TF-IDF (max_features=5000, ngram_range=(1,2)) → SVM (kernel lineal, C∈{0.1,1,10}) o regresión logística (C=1.0, max_iter=1000) → intención. Seed=42 en todas las corridas; se conserva el C con mejor F1 en validación.</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P08</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Experimento Rasa NLU / DIET (OE2)</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P09</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Gestión del diálogo (OE2)</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Documentar stories, rules, forms y custom actions que completan la conversación con el ciudadano, usando el TUPA y la información institucional de la MPSR.</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P10</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Repeticiones (OE2)</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Ejecutar múltiples corridas independientes del baseline y de Rasa/DIET con semillas predefinidas (10, 20, 30, 40, 50) para estimar variabilidad.</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P11</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Métricas de clasificación (OE2)</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Calcular Accuracy, Precision macro, Recall macro, F1 macro y Balanced Accuracy, además de la matriz de confusión por intención, para cada repetición. Se fija la arquitectura final con F1 ≥ 0.85.</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P12</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Despliegue piloto y medición de tiempos (OE3)</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Desplegar el chatbot con la arquitectura fijada en la Plataforma de Atención Ciudadano MPSR; medir tiempo de respuesta y compararlo contra la línea base de P01.</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P13</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Encuesta de satisfacción (OE4)</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Muestreo aleatorio simple entre ciudadanos que completen una interacción con el chatbot (inclusión: recibieron respuesta; exclusión: conversación abandonada). Aplicar encuesta con escala Likert de 5 puntos a n=120, justificado con fórmula de poblaciones finitas (Z=1.96, p=q=0.5, e=7.5%, N≈400) y coincidente con Vargas Ríos (2022).</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P14</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Análisis estadístico (OE3–OE4)</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Verificar normalidad de las diferencias pre/post con Shapiro-Wilk (α=0.05). Si se cumple, aplicar prueba t de Student pareada; si no, aplicar la alternativa no paramétrica Wilcoxon (rangos con signo). Formular H0/H1 y aplicar el criterio de decisión con α=0.05.</w:t>
            </w:r>
          </w:p>
        </w:tc>
      </w:tr>
      <w:t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P15</w:t>
            </w:r>
          </w:p>
        </w:tc>
        <w:tc>
          <w:tcPr>
            <w:tcW w:type="dxa" w:w="24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Reproducibilidad</w:t>
            </w:r>
          </w:p>
        </w:tc>
        <w:tc>
          <w:tcPr>
            <w:tcW w:type="dxa" w:w="6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Conservar código, configuraciones, semillas, particiones, modelos, predicciones, métricas, logs y un README con el orden de ejecución.</w:t>
            </w:r>
          </w:p>
        </w:tc>
      </w:tr>
      <w:t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P16</w:t>
            </w:r>
          </w:p>
        </w:tc>
        <w:tc>
          <w:tcPr>
            <w:tcW w:type="dxa" w:w="24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20"/>
                <w:szCs w:val="20"/>
              </w:rPr>
              <w:t xml:space="preserve">Registro de incidencias</w:t>
            </w:r>
          </w:p>
        </w:tc>
        <w:tc>
          <w:tcPr>
            <w:tcW w:type="dxa" w:w="69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20"/>
                <w:szCs w:val="20"/>
              </w:rPr>
              <w:t xml:space="preserve">Documentar fecha, experimento, incidencia, decisión adoptada y justificación de toda desviación del protocolo (p. ej. reetiquetado, falla de despliegue).</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tbl>
      <w:tblPr>
        <w:tblW w:type="dxa" w:w="11380"/>
        <w:tblBorders>
          <w:top w:val="single" w:color="auto" w:sz="4"/>
          <w:left w:val="single" w:color="auto" w:sz="4"/>
          <w:bottom w:val="single" w:color="auto" w:sz="4"/>
          <w:right w:val="single" w:color="auto" w:sz="4"/>
          <w:insideH w:val="single" w:color="auto" w:sz="4"/>
          <w:insideV w:val="single" w:color="auto" w:sz="4"/>
        </w:tblBorders>
      </w:tblPr>
      <w:tblGrid>
        <w:gridCol w:w="380"/>
        <w:gridCol w:w="1550"/>
        <w:gridCol w:w="1300"/>
        <w:gridCol w:w="1300"/>
        <w:gridCol w:w="1550"/>
        <w:gridCol w:w="1350"/>
        <w:gridCol w:w="1300"/>
        <w:gridCol w:w="1300"/>
        <w:gridCol w:w="1350"/>
      </w:tblGrid>
      <w:tr>
        <w:trPr>
          <w:tblHeader/>
        </w:trPr>
        <w:tc>
          <w:tcPr>
            <w:tcW w:type="dxa" w:w="3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5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5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T01</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OE1. Diagnosticar la situación actual de los canales de atención.</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Relevar tiempos y limitaciones de la atención presencial.</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Registros/observación de atención presencial.</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Medición de tiempos y cuellos de botella.</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Muestra de trámites representativa de las 9 categorías.</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Informe de diagnóstico presencial.</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Tiempo promedio de atención (línea base).</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Línea base (pre-test) para OE3.</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T02</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OE1</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Evaluar capacidades y limitaciones de TramiFácil.</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Plataforma TramiFácil.</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Análisis funcional: qué resuelve y qué no resuelve TramiFácil.</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Criterios de interactividad y cobertura de trámites.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Ficha de evaluación de TramiFácil.</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Nº de limitaciones documentadas.</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Justificación técnica de la necesidad del chatbot.</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T03</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OE2. Construir el Corpus MPSR-Bot.</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Registrar el corpus.</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TUPA, FAQs, TramiFácil, construcción manual.</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Crear inventario e identificadores de utterance.</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Fuente y versión registradas por intención/categoría.</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corpus_metadata.csv</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N.º utterances, intenciones (50) y categorías (9).</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Corpus identificado y documentado.</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T04</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OE2</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Auditar calidad del corpus.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Corpus registrado.</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Detectar duplicados, ambigüedad y desbalance.</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Criterios de inclusión/exclusión definidos.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corpus_audit.csv + reporte</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Distribución e integridad por intención.</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Caracterización y calidad del corpus.</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T05</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OE2</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Controlar fuga por paráfrasis y particionar.</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Utterances y frase base.</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Asignar base_phrase_id; separar train/val/test.</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70/15/15; seed = 42; agrupado por frase base.</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dataset_split.csv</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Solapamiento entre particiones = 0.</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Corpus sin fuga, partición reproducible.</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T06</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OE2</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Implementar y comparar baseline (ML) vs. Rasa/DIET.</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Utterances preprocesadas.</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Entrenar TF-IDF+SVM y Rasa NLU/DIET bajo las mismas condiciones.</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Hiperparámetros y semillas registrados; test aislado.</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Configs, checkpoints, predicciones.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F1 macro ≥ 0.85, Balanced Accuracy, Precision, Recall.</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Arquitectura de clasificación de intenciones fijada.</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T07</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OE2</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Construir la gestión del diálogo.</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Intenciones y entidades reconocidas + TUPA/información institucional.</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Definir stories, rules, forms y custom actions.</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Cobertura de las 9 categorías de intención.</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domain.yml, stories.yml, actions.py.</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Flujo completo consulta → respuesta.</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Arquitectura del chatbot implementada.</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T08</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OE3. Medir la reducción del tiempo de respuesta.</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Desplegar el chatbot en la Plataforma MPSR.</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Chatbot funcional (OE2) + Plataforma de Atención.</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Poner en producción piloto el chatbot.</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Mismo periodo/condiciones que el diagnóstico de OE1.</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Registro de despliegue.</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Disponibilidad del canal (24/7).</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Chatbot operativo para medición.</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T09</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OE3</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Medir tiempo de respuesta con el chatbot.</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Consultas ciudadanas atendidas por el chatbot.</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Registrar tiempo de respuesta por consulta.</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Mismas categorías de trámite que la línea base (T01).</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Registros de tiempo (post-test).</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Tiempo promedio de respuesta (post).</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Dato post-test para la comparación.</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T10</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OE3</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Comparar tiempos pre/post.</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Línea base (T01) + tiempos del chatbot (T09).</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Calcular porcentaje de reducción del tiempo de respuesta.</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Mismo criterio de medición en ambos momentos.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Tabla comparativa pre/post.</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 de reducción de tiempo (meta ≥ 60 %).</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Evidencia cuantitativa de mejora en el tiempo de atención.</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T11</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OE4. Evaluar el nivel de satisfacción ciudadana.</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Aplicar encuesta de usabilidad.</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Ciudadanos que usaron el chatbot.</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Encuesta con escala Likert de 5 puntos.</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Muestra n = 120 (Vargas Ríos, 2022).</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Base de datos de encuesta.</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Puntaje Likert promedio (meta ≥ 4.0/5.0).</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Nivel de satisfacción ciudadana documentado.</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T12</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OE4</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Analizar errores y percepción negativa.</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Predicciones del chatbot + respuestas de la encuesta.</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Identificar intenciones confundidas y comentarios críticos.</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Criterios uniformes de análisis.</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Matrices de confusión + comentarios de encuesta.</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FP/FN por intención; ítems Likert bajos.</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Explicación de patrones de error e insatisfacción.</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T13</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OE1-OE4</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Contrastar la hipótesis estadísticamente.</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Datos pre/post de tiempo (T01, T10) y satisfacción (T11).</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Verificar normalidad (Shapiro-Wilk) y aplicar prueba t de Student o, en su defecto, Wilcoxon.</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α = 0.05; H0/H1 formales.</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Script + tabla estadística.</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p-value y decisión sobre H0.</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Evidencia cuantitativa del efecto del chatbot en la atención ciudadana.</w:t>
            </w:r>
          </w:p>
        </w:tc>
      </w:tr>
      <w:tr>
        <w:tc>
          <w:tcPr>
            <w:tcW w:type="dxa" w:w="3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T14</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OE1-OE4</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Garantizar reproducibilidad.</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Todos los experimentos.</w:t>
            </w:r>
          </w:p>
        </w:tc>
        <w:tc>
          <w:tcPr>
            <w:tcW w:type="dxa" w:w="15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Integrar código, configuraciones, seeds, logs y resultados.</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Versionado del protocolo y del software.</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Repositorio + README.md</w:t>
            </w:r>
          </w:p>
        </w:tc>
        <w:tc>
          <w:tcPr>
            <w:tcW w:type="dxa" w:w="1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Experimento reproducible y rastreable.</w:t>
            </w:r>
          </w:p>
        </w:tc>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Trazabilidad completa objetivo→resultado.</w:t>
            </w:r>
          </w:p>
        </w:tc>
      </w:tr>
      <w:tr>
        <w:tc>
          <w:tcPr>
            <w:tcW w:type="dxa" w:w="3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T15</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4"/>
                <w:szCs w:val="14"/>
              </w:rPr>
              <w:t xml:space="preserve">OE1-OE4</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Registrar incidencias y desviaciones del protocolo.</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Cualquier desviación durante P01–P14 (falla de despliegue, reetiquetado, corte de energía, etc.).</w:t>
            </w:r>
          </w:p>
        </w:tc>
        <w:tc>
          <w:tcPr>
            <w:tcW w:type="dxa" w:w="15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Documentar fecha, experimento, incidencia, decisión y justificación.</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Ninguna incidencia se resuelve u omite silenciosamente.</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Bitácora de incidencias (incident_log.csv).</w:t>
            </w:r>
          </w:p>
        </w:tc>
        <w:tc>
          <w:tcPr>
            <w:tcW w:type="dxa" w:w="1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N.º de incidencias registradas y resueltas.</w:t>
            </w:r>
          </w:p>
        </w:tc>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4"/>
                <w:szCs w:val="14"/>
              </w:rPr>
              <w:t xml:space="preserve">Historial de desviaciones justificado y auditable.</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sectPr>
      <w:headerReference w:type="default" r:id="rId9"/>
      <w:footerReference w:type="default" r:id="rId10"/>
      <w:pgSz w:w="12240" w:h="15840" w:orient="portrait"/>
      <w:pgMar w:top="700" w:right="300" w:bottom="700" w:left="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2026-09-25T18:04:04.409Z</dcterms:created>
  <dcterms:modified xsi:type="dcterms:W3CDTF">2026-09-25T18:04:04.417Z</dcterms:modified>
</cp:coreProperties>
</file>

<file path=docProps/custom.xml><?xml version="1.0" encoding="utf-8"?>
<Properties xmlns="http://schemas.openxmlformats.org/officeDocument/2006/custom-properties" xmlns:vt="http://schemas.openxmlformats.org/officeDocument/2006/docPropsVTypes"/>
</file>