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color w:val="000000"/>
          <w:sz w:val="28"/>
          <w:szCs w:val="28"/>
        </w:rPr>
        <w:t xml:space="preserve">METODOLOGÍA, PROTOCOLO EXPERIMENTAL</w:t>
      </w:r>
    </w:p>
    <w:p>
      <w:pPr>
        <w:spacing w:after="200"/>
        <w:jc w:val="center"/>
      </w:pPr>
      <w:r>
        <w:rPr>
          <w:rFonts w:ascii="Times New Roman" w:cs="Times New Roman" w:eastAsia="Times New Roman" w:hAnsi="Times New Roman"/>
          <w:b/>
          <w:bCs/>
          <w:color w:val="000000"/>
          <w:sz w:val="28"/>
          <w:szCs w:val="28"/>
        </w:rPr>
        <w:t xml:space="preserve">Y MATRIZ DE TRAZABILIDAD TÉCNICA</w:t>
      </w:r>
    </w:p>
    <w:p>
      <w:pPr>
        <w:spacing w:after="300" w:line="480" w:lineRule="auto"/>
        <w:jc w:val="center"/>
      </w:pPr>
      <w:r>
        <w:rPr>
          <w:rFonts w:ascii="Times New Roman" w:cs="Times New Roman" w:eastAsia="Times New Roman" w:hAnsi="Times New Roman"/>
          <w:i/>
          <w:iCs/>
          <w:color w:val="000000"/>
          <w:sz w:val="24"/>
          <w:szCs w:val="24"/>
        </w:rPr>
        <w:t xml:space="preserve">Chatbot de Inteligencia Artificial (Rasa NLU / DIET classifier) para la atención ciudadana en la Municipalidad Provincial de San Román</w:t>
      </w:r>
    </w:p>
    <w:p>
      <w:pPr>
        <w:spacing w:after="0" w:line="480" w:lineRule="auto"/>
        <w:jc w:val="center"/>
      </w:pPr>
      <w:r>
        <w:rPr>
          <w:rFonts w:ascii="Times New Roman" w:cs="Times New Roman" w:eastAsia="Times New Roman" w:hAnsi="Times New Roman"/>
          <w:color w:val="000000"/>
          <w:sz w:val="24"/>
          <w:szCs w:val="24"/>
        </w:rPr>
        <w:t xml:space="preserve">Tesista: Escalante Marca, Luis Mario — Ciclo VIII, Ingeniería en Informática y Sistemas, UNAJ</w:t>
      </w:r>
    </w:p>
    <w:p>
      <w:pPr>
        <w:spacing w:after="0" w:line="480" w:lineRule="auto"/>
        <w:jc w:val="center"/>
      </w:pPr>
      <w:r>
        <w:rPr>
          <w:rFonts w:ascii="Times New Roman" w:cs="Times New Roman" w:eastAsia="Times New Roman" w:hAnsi="Times New Roman"/>
          <w:color w:val="000000"/>
          <w:sz w:val="24"/>
          <w:szCs w:val="24"/>
        </w:rPr>
        <w:t xml:space="preserve">Asesora: Dra. (c) Liz Maribel Huancapaza Hilasaca</w:t>
      </w:r>
    </w:p>
    <w:p>
      <w:pPr>
        <w:spacing w:after="0" w:line="480" w:lineRule="auto"/>
        <w:jc w:val="center"/>
      </w:pPr>
      <w:r>
        <w:rPr>
          <w:rFonts w:ascii="Times New Roman" w:cs="Times New Roman" w:eastAsia="Times New Roman" w:hAnsi="Times New Roman"/>
          <w:color w:val="000000"/>
          <w:sz w:val="24"/>
          <w:szCs w:val="24"/>
        </w:rPr>
        <w:t xml:space="preserve">Curso: Seminario de Tesis II — 2026-II — Juliaca, Puno</w:t>
      </w:r>
    </w:p>
    <w:p>
      <w:pPr>
        <w:spacing w:after="0" w:line="480" w:lineRule="auto"/>
        <w:jc w:val="center"/>
      </w:pPr>
      <w:r>
        <w:rPr>
          <w:rFonts w:ascii="Times New Roman" w:cs="Times New Roman" w:eastAsia="Times New Roman" w:hAnsi="Times New Roman"/>
          <w:b/>
          <w:bCs/>
          <w:color w:val="000000"/>
          <w:sz w:val="24"/>
          <w:szCs w:val="24"/>
        </w:rPr>
        <w:t xml:space="preserve">Protocolo Experimental V1.3 — 3 de octubre de 2026 (actualiza la V1.2)</w:t>
      </w:r>
    </w:p>
    <w:p>
      <w:pPr>
        <w:spacing w:after="240" w:before="120" w:line="276" w:lineRule="auto"/>
        <w:jc w:val="center"/>
      </w:pPr>
      <w:r>
        <w:rPr>
          <w:rFonts w:ascii="Times New Roman" w:cs="Times New Roman" w:eastAsia="Times New Roman" w:hAnsi="Times New Roman"/>
          <w:i/>
          <w:iCs/>
          <w:color w:val="000000"/>
          <w:sz w:val="22"/>
          <w:szCs w:val="22"/>
        </w:rPr>
        <w:t xml:space="preserve">Nota de lectura: cada paso de la Sección 3 y cada fila de la Sección 4 indica su estado (ejecutado, simulado, planificado o adoptado). Los errores detectados, las medidas tomadas y las modificaciones respecto de la V1.1 y la V1.2 se registran en la Sección 5.</w:t>
      </w:r>
    </w:p>
    <w:p>
      <w:pPr>
        <w:pStyle w:val="Heading1"/>
        <w:spacing w:after="240" w:before="240" w:line="480" w:lineRule="auto"/>
        <w:jc w:val="center"/>
      </w:pPr>
      <w:r>
        <w:rPr>
          <w:rFonts w:ascii="Times New Roman" w:cs="Times New Roman" w:eastAsia="Times New Roman" w:hAnsi="Times New Roman"/>
          <w:b/>
          <w:bCs/>
          <w:color w:val="000000"/>
          <w:sz w:val="24"/>
          <w:szCs w:val="24"/>
        </w:rPr>
        <w:t xml:space="preserve">1. Planteamiento de la investigación</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1.1 Objetivo general</w:t>
      </w:r>
    </w:p>
    <w:p>
      <w:pPr>
        <w:spacing w:after="0" w:line="480" w:lineRule="auto"/>
        <w:ind w:firstLine="720"/>
        <w:jc w:val="left"/>
      </w:pPr>
      <w:r>
        <w:rPr>
          <w:rFonts w:ascii="Times New Roman" w:cs="Times New Roman" w:eastAsia="Times New Roman" w:hAnsi="Times New Roman"/>
          <w:color w:val="000000"/>
          <w:sz w:val="24"/>
          <w:szCs w:val="24"/>
        </w:rPr>
        <w:t xml:space="preserve">Implementar un chatbot con inteligencia artificial para mejorar la atención al ciudadano en la Municipalidad Provincial de San Román – Juliaca.</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1.2 Objetivos específicos</w:t>
      </w:r>
    </w:p>
    <w:p>
      <w:pPr>
        <w:spacing w:after="0" w:line="480" w:lineRule="auto"/>
        <w:ind w:left="720" w:hanging="360"/>
        <w:jc w:val="left"/>
      </w:pPr>
      <w:r>
        <w:rPr>
          <w:rFonts w:ascii="Times New Roman" w:cs="Times New Roman" w:eastAsia="Times New Roman" w:hAnsi="Times New Roman"/>
          <w:color w:val="000000"/>
          <w:sz w:val="24"/>
          <w:szCs w:val="24"/>
        </w:rPr>
        <w:t xml:space="preserve">• OE1: Diagnosticar la situación actual de los canales de atención al ciudadano en la Municipalidad Provincial de San Román, evaluando las capacidades y limitaciones de la atención presencial y la plataforma TramiFácil.</w:t>
      </w:r>
    </w:p>
    <w:p>
      <w:pPr>
        <w:spacing w:after="0" w:line="480" w:lineRule="auto"/>
        <w:ind w:left="720" w:hanging="360"/>
        <w:jc w:val="left"/>
      </w:pPr>
      <w:r>
        <w:rPr>
          <w:rFonts w:ascii="Times New Roman" w:cs="Times New Roman" w:eastAsia="Times New Roman" w:hAnsi="Times New Roman"/>
          <w:color w:val="000000"/>
          <w:sz w:val="24"/>
          <w:szCs w:val="24"/>
        </w:rPr>
        <w:t xml:space="preserve">• OE2: Diseñar e implementar la arquitectura del chatbot utilizando tecnologías de procesamiento de lenguaje natural (framework Rasa) y una base de conocimiento construida a partir del TUPA, la información institucional y los procedimientos administrativos de la MPSR.</w:t>
      </w:r>
    </w:p>
    <w:p>
      <w:pPr>
        <w:spacing w:after="0" w:line="480" w:lineRule="auto"/>
        <w:ind w:left="720" w:hanging="360"/>
        <w:jc w:val="left"/>
      </w:pPr>
      <w:r>
        <w:rPr>
          <w:rFonts w:ascii="Times New Roman" w:cs="Times New Roman" w:eastAsia="Times New Roman" w:hAnsi="Times New Roman"/>
          <w:color w:val="000000"/>
          <w:sz w:val="24"/>
          <w:szCs w:val="24"/>
        </w:rPr>
        <w:t xml:space="preserve">• OE3: Medir la reducción del tiempo de respuesta a consultas ciudadanas tras la implementación del chatbot, en comparación con la atención presencial y la plataforma TramiFácil.</w:t>
      </w:r>
    </w:p>
    <w:p>
      <w:pPr>
        <w:spacing w:after="0" w:line="480" w:lineRule="auto"/>
        <w:ind w:left="720" w:hanging="360"/>
        <w:jc w:val="left"/>
      </w:pPr>
      <w:r>
        <w:rPr>
          <w:rFonts w:ascii="Times New Roman" w:cs="Times New Roman" w:eastAsia="Times New Roman" w:hAnsi="Times New Roman"/>
          <w:color w:val="000000"/>
          <w:sz w:val="24"/>
          <w:szCs w:val="24"/>
        </w:rPr>
        <w:t xml:space="preserve">• OE4: Evaluar el nivel de satisfacción de los ciudadanos de Juliaca respecto a la atención brindada por el chatbot, mediante encuestas de usabilidad con escala de Likert de 5 puntos.</w:t>
      </w:r>
    </w:p>
    <w:p>
      <w:pPr>
        <w:pStyle w:val="Heading1"/>
        <w:spacing w:after="240" w:before="240" w:line="480" w:lineRule="auto"/>
        <w:jc w:val="center"/>
      </w:pPr>
      <w:r>
        <w:rPr>
          <w:rFonts w:ascii="Times New Roman" w:cs="Times New Roman" w:eastAsia="Times New Roman" w:hAnsi="Times New Roman"/>
          <w:b/>
          <w:bCs/>
          <w:color w:val="000000"/>
          <w:sz w:val="24"/>
          <w:szCs w:val="24"/>
        </w:rPr>
        <w:t xml:space="preserve">2. Metodología revisada</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2.1 Enfoque y tipo de investigación</w:t>
      </w:r>
    </w:p>
    <w:p>
      <w:pPr>
        <w:spacing w:after="0" w:line="480" w:lineRule="auto"/>
        <w:ind w:firstLine="720"/>
        <w:jc w:val="left"/>
      </w:pPr>
      <w:r>
        <w:rPr>
          <w:rFonts w:ascii="Times New Roman" w:cs="Times New Roman" w:eastAsia="Times New Roman" w:hAnsi="Times New Roman"/>
          <w:color w:val="000000"/>
          <w:sz w:val="24"/>
          <w:szCs w:val="24"/>
        </w:rPr>
        <w:t xml:space="preserve">La investigación adopta un enfoque cuantitativo, porque el desempeño del chatbot y su efecto sobre la atención ciudadana se evalúan mediante métricas numéricas (F1-Score, tiempo de respuesta, escala Likert) y una prueba de hipótesis estadística. Es de tipo aplicada, pues emplea Rasa NLU con DIET classifier para resolver un problema concreto: la atención de consultas ciudadanas en la MPSR.</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2.2 Nivel y diseño de investigación</w:t>
      </w:r>
    </w:p>
    <w:p>
      <w:pPr>
        <w:spacing w:after="0" w:line="480" w:lineRule="auto"/>
        <w:ind w:firstLine="720"/>
        <w:jc w:val="left"/>
      </w:pPr>
      <w:r>
        <w:rPr>
          <w:rFonts w:ascii="Times New Roman" w:cs="Times New Roman" w:eastAsia="Times New Roman" w:hAnsi="Times New Roman"/>
          <w:color w:val="000000"/>
          <w:sz w:val="24"/>
          <w:szCs w:val="24"/>
        </w:rPr>
        <w:t xml:space="preserve">El nivel es explicativo: se busca establecer la relación causal entre la variable independiente (Chatbot con IA — Rasa NLU/DIET classifier, OE2) y la variable dependiente (Atención al ciudadano en la MPSR, medida a través de OE1, OE3 y OE4). El diseño es pre-experimental, de un solo grupo con medición antes y después (pre-test/post-test), de temporalidad transversal, siguiendo un método hipotético-deductivo — consistente con la clasificación metodológica definida en el Cap. III de Tesis I. El pre-test corresponde al diagnóstico de OE1 (línea base de tiempos, limitaciones y satisfacción con la atención presencial) y el post-test a la medición de OE3 y OE4 con el chatbot, aplicados sobre los mismos sujetos. Modificación V1.3: en el piloto exploratorio ambas mediciones se realizan en una sola sesión asistida (la línea base es recordada y la medición con el chatbot se hace en la misma visita; ver Sección 2.4).</w:t>
      </w:r>
    </w:p>
    <w:p>
      <w:pPr>
        <w:spacing w:after="0" w:line="480" w:lineRule="auto"/>
        <w:ind w:firstLine="720"/>
        <w:jc w:val="left"/>
      </w:pPr>
      <w:r>
        <w:rPr>
          <w:rFonts w:ascii="Times New Roman" w:cs="Times New Roman" w:eastAsia="Times New Roman" w:hAnsi="Times New Roman"/>
          <w:color w:val="000000"/>
          <w:sz w:val="24"/>
          <w:szCs w:val="24"/>
        </w:rPr>
        <w:t xml:space="preserve">Para la selección de la arquitectura del chatbot (OE2) se utiliza, de manera interna y previa al piloto, un diseño experimental computacional comparativo: el método de clasificación de intenciones (baseline ML vs. Rasa NLU/DIET) es la variable independiente de este sub-experimento, y las métricas de clasificación son las variables de respuesta. Este sub-experimento no reemplaza a OE2, sino que sustenta técnicamente la arquitectura que finalmente se implementa.</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2.3 Unidad de análisis y datos</w:t>
      </w:r>
    </w:p>
    <w:p>
      <w:pPr>
        <w:spacing w:after="0" w:line="480" w:lineRule="auto"/>
        <w:ind w:left="720" w:hanging="360"/>
        <w:jc w:val="left"/>
      </w:pPr>
      <w:r>
        <w:rPr>
          <w:rFonts w:ascii="Times New Roman" w:cs="Times New Roman" w:eastAsia="Times New Roman" w:hAnsi="Times New Roman"/>
          <w:color w:val="000000"/>
          <w:sz w:val="24"/>
          <w:szCs w:val="24"/>
        </w:rPr>
        <w:t xml:space="preserve">• Unidad de análisis de diagnóstico (OE1): cada trámite o consulta resuelto de forma presencial, reportado por el ciudadano (TramiFácil es una herramienta de uso interno del personal de la MPSR, por lo que se evalúa de forma documental y no como canal ciudadano).</w:t>
      </w:r>
    </w:p>
    <w:p>
      <w:pPr>
        <w:spacing w:after="0" w:line="480" w:lineRule="auto"/>
        <w:ind w:left="720" w:hanging="360"/>
        <w:jc w:val="left"/>
      </w:pPr>
      <w:r>
        <w:rPr>
          <w:rFonts w:ascii="Times New Roman" w:cs="Times New Roman" w:eastAsia="Times New Roman" w:hAnsi="Times New Roman"/>
          <w:color w:val="000000"/>
          <w:sz w:val="24"/>
          <w:szCs w:val="24"/>
        </w:rPr>
        <w:t xml:space="preserve">• Unidad de análisis NLU (OE2): cada utterance (frase/consulta ciudadana) del Corpus MPSR-Bot, etiquetada con una de las 54 intenciones (44 de trámites y 10 conversacionales) agrupadas en 9 categorías.</w:t>
      </w:r>
    </w:p>
    <w:p>
      <w:pPr>
        <w:spacing w:after="0" w:line="480" w:lineRule="auto"/>
        <w:ind w:left="720" w:hanging="360"/>
        <w:jc w:val="left"/>
      </w:pPr>
      <w:r>
        <w:rPr>
          <w:rFonts w:ascii="Times New Roman" w:cs="Times New Roman" w:eastAsia="Times New Roman" w:hAnsi="Times New Roman"/>
          <w:color w:val="000000"/>
          <w:sz w:val="24"/>
          <w:szCs w:val="24"/>
        </w:rPr>
        <w:t xml:space="preserve">• Unidad de análisis de tiempo de respuesta (OE3): cada consulta ciudadana atendida por el chatbot durante el piloto, comparada contra la línea base de OE1.</w:t>
      </w:r>
    </w:p>
    <w:p>
      <w:pPr>
        <w:spacing w:after="0" w:line="480" w:lineRule="auto"/>
        <w:ind w:left="720" w:hanging="360"/>
        <w:jc w:val="left"/>
      </w:pPr>
      <w:r>
        <w:rPr>
          <w:rFonts w:ascii="Times New Roman" w:cs="Times New Roman" w:eastAsia="Times New Roman" w:hAnsi="Times New Roman"/>
          <w:color w:val="000000"/>
          <w:sz w:val="24"/>
          <w:szCs w:val="24"/>
        </w:rPr>
        <w:t xml:space="preserve">• Unidad de análisis de satisfacción (OE4): cada ciudadano encuestado (muestra planificada n = 120 según el antecedente de Vargas Ríos, 2022; piloto exploratorio n = 60, ver Sección 2.4).</w:t>
      </w:r>
    </w:p>
    <w:p>
      <w:pPr>
        <w:spacing w:after="0" w:line="480" w:lineRule="auto"/>
        <w:ind w:firstLine="720"/>
        <w:jc w:val="left"/>
      </w:pPr>
      <w:r>
        <w:rPr>
          <w:rFonts w:ascii="Times New Roman" w:cs="Times New Roman" w:eastAsia="Times New Roman" w:hAnsi="Times New Roman"/>
          <w:color w:val="000000"/>
          <w:sz w:val="24"/>
          <w:szCs w:val="24"/>
        </w:rPr>
        <w:t xml:space="preserve">El Corpus MPSR-Bot conservará identificador, intención, categoría, procedencia (construcción manual y plantillas coloquiales, pendiente de contrastar con el TUPA oficial; desde V1.2, también lenguaje real del lote 1), identificador de frase base (para agrupar paráfrasis) y partición asignada.</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2.4 Muestreo y tamaño de muestra</w:t>
      </w:r>
    </w:p>
    <w:p>
      <w:pPr>
        <w:spacing w:after="0" w:line="480" w:lineRule="auto"/>
        <w:ind w:firstLine="720"/>
        <w:jc w:val="left"/>
      </w:pPr>
      <w:r>
        <w:rPr>
          <w:rFonts w:ascii="Times New Roman" w:cs="Times New Roman" w:eastAsia="Times New Roman" w:hAnsi="Times New Roman"/>
          <w:color w:val="000000"/>
          <w:sz w:val="24"/>
          <w:szCs w:val="24"/>
        </w:rPr>
        <w:t xml:space="preserve">Punto de reclutamiento. La MPSR no otorgó autorización para desplegar el chatbot en su plataforma ni para realizar trabajo de campo dentro de su local (ni observación, ni un cartel/QR informativo). Por ello, el reclutamiento se realiza en estudios contables y oficinas de abogados de Juliaca, cuyos clientes acuden frecuentemente a resolver trámites ante la MPSR (licencias, tributos, documentación legal). Esto implica un muestreo no probabilístico por cuotas (no estratificado aleatorio puro): se recolecta hasta cubrir un mínimo de 3 observaciones por cada una de las 9 categorías, pero el punto de reclutamiento favorece ciertos trámites (licencias, tributos, documentación legal) y probablemente subrepresenta otros (reclamos, registro civil, servicios públicos). Esta limitación se declara explícitamente en la discusión de resultados.</w:t>
      </w:r>
    </w:p>
    <w:p>
      <w:pPr>
        <w:spacing w:after="0" w:line="480" w:lineRule="auto"/>
        <w:ind w:firstLine="720"/>
        <w:jc w:val="left"/>
      </w:pPr>
      <w:r>
        <w:rPr>
          <w:rFonts w:ascii="Times New Roman" w:cs="Times New Roman" w:eastAsia="Times New Roman" w:hAnsi="Times New Roman"/>
          <w:color w:val="000000"/>
          <w:sz w:val="24"/>
          <w:szCs w:val="24"/>
        </w:rPr>
        <w:t xml:space="preserve">Un solo grupo, una sola sesión (modificación V1.3). Se trabaja con un único grupo de ciudadanos reclutados en los puntos anteriores. En una sola visita asistida (unos 15 minutos), cada persona: (1) responde su experiencia previa con la atención presencial, que es la línea base recordada (Parte 1, con el mismo contenido de la Ficha de Diagnóstico P01); (2) prueba el chatbot con 3 tarjetas de situación mientras el aplicador mide el tiempo hasta una respuesta útil; y (3) responde la encuesta de satisfacción de 9 ítems, uno de ellos pareado con la satisfacción previa. No se recogen nombres ni contactos, por lo que no hay seguimiento ni abandono. El diseño original (dos visitas, con WhatsApp para recontactar) queda como la versión planificada V1.2 y no se ejecuta por el plazo del curso. Antes de la primera sesión se congela el modelo y se registra su versión; las consultas escritas por las personas quedan como conjunto de prueba final.</w:t>
      </w:r>
    </w:p>
    <w:p>
      <w:pPr>
        <w:spacing w:after="0" w:line="480" w:lineRule="auto"/>
        <w:ind w:firstLine="720"/>
        <w:jc w:val="left"/>
      </w:pPr>
      <w:r>
        <w:rPr>
          <w:rFonts w:ascii="Times New Roman" w:cs="Times New Roman" w:eastAsia="Times New Roman" w:hAnsi="Times New Roman"/>
          <w:color w:val="000000"/>
          <w:sz w:val="24"/>
          <w:szCs w:val="24"/>
        </w:rPr>
        <w:t xml:space="preserve">Tamaño de muestra planificado (V1.2): n = 120. Se calcula con la fórmula para poblaciones finitas n = (N·Z²·p·q) / (e²·(N−1) + Z²·p·q), con Z = 1.96 (confianza 95 %), p = q = 0.5 (máxima variabilidad) y e = 5 %, usando como N el promedio mensual de atenciones que reporte la MPSR; como referencia preliminar (N ≈ 400 atenciones/mes, e = 7.5 %) el cálculo arroja n ≈ 120, valor que además coincide con el antecedente nacional de Vargas Ríos (2022) en un contexto municipal similar. Se fija un mínimo de 3 observaciones por categoría para asegurar representatividad de las 9 categorías (ajustable si la distribución real del reclutamiento lo permite).</w:t>
      </w:r>
    </w:p>
    <w:p>
      <w:pPr>
        <w:spacing w:after="0" w:line="480" w:lineRule="auto"/>
        <w:ind w:firstLine="720"/>
        <w:jc w:val="left"/>
      </w:pPr>
      <w:r>
        <w:rPr>
          <w:rFonts w:ascii="Times New Roman" w:cs="Times New Roman" w:eastAsia="Times New Roman" w:hAnsi="Times New Roman"/>
          <w:color w:val="000000"/>
          <w:sz w:val="24"/>
          <w:szCs w:val="24"/>
        </w:rPr>
        <w:t xml:space="preserve">Tamaño del piloto exploratorio (V1.3): n = 60 sesiones elegibles. Con 60 pares, la prueba t de Student pareada detecta, con 80 % de potencia (α = 0.05, dos colas), efectos de d ≈ 0.37 o mayores, y el margen de error de una proporción (N ≈ 400, confianza de 95 %) sube a ≈ 11.7 % (frente a ≈ 7.5 % con n = 120). Por ello el piloto se presenta como exploratorio y no confirmatorio. Si no se completan 60 sesiones elegibles, se presenta con el n real.</w:t>
      </w:r>
    </w:p>
    <w:p>
      <w:pPr>
        <w:spacing w:after="0" w:line="480" w:lineRule="auto"/>
        <w:ind w:firstLine="720"/>
        <w:jc w:val="left"/>
      </w:pPr>
      <w:r>
        <w:rPr>
          <w:rFonts w:ascii="Times New Roman" w:cs="Times New Roman" w:eastAsia="Times New Roman" w:hAnsi="Times New Roman"/>
          <w:color w:val="000000"/>
          <w:sz w:val="24"/>
          <w:szCs w:val="24"/>
        </w:rPr>
        <w:t xml:space="preserve">Criterio de duplicados en el corpus (OE2). Dos utterances se consideran duplicadas o casi-duplicadas cuando su similitud de texto normalizado (medida con similitud de Jaccard sobre tokens o distancia de Levenshtein normalizada) es ≥ 0.90 dentro de la misma intención; en ese caso se agrupan bajo un mismo base_phrase_id en lugar de eliminarse, para no perder variabilidad léxica útil al entrenamiento.</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2.4.1 Análisis de sensibilidad de n ante la incertidumbre de N</w:t>
      </w:r>
    </w:p>
    <w:p>
      <w:pPr>
        <w:spacing w:after="0" w:line="480" w:lineRule="auto"/>
        <w:ind w:firstLine="720"/>
        <w:jc w:val="left"/>
      </w:pPr>
      <w:r>
        <w:rPr>
          <w:rFonts w:ascii="Times New Roman" w:cs="Times New Roman" w:eastAsia="Times New Roman" w:hAnsi="Times New Roman"/>
          <w:color w:val="000000"/>
          <w:sz w:val="24"/>
          <w:szCs w:val="24"/>
        </w:rPr>
        <w:t xml:space="preserve">Mientras se confirma con la MPSR el promedio real de atenciones mensuales (N), se evaluó cómo varía el tamaño de muestra n para un rango razonable de N, manteniendo Z = 1.96, p = q = 0.5 y e = 7.5 %:</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rPr>
          <w:tblHeader/>
        </w:trPr>
        <w:tc>
          <w:tcPr>
            <w:tcW w:type="dxa" w:w="30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N estimado (atenciones/mes)</w:t>
            </w:r>
          </w:p>
        </w:tc>
        <w:tc>
          <w:tcPr>
            <w:tcW w:type="dxa" w:w="30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n resultante</w:t>
            </w:r>
          </w:p>
        </w:tc>
      </w:tr>
      <w:tr>
        <w:tc>
          <w:tcPr>
            <w:tcW w:type="dxa" w:w="30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0"/>
                <w:szCs w:val="20"/>
              </w:rPr>
              <w:t xml:space="preserve">250</w:t>
            </w:r>
          </w:p>
        </w:tc>
        <w:tc>
          <w:tcPr>
            <w:tcW w:type="dxa" w:w="30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20"/>
                <w:szCs w:val="20"/>
              </w:rPr>
              <w:t xml:space="preserve">≈ 102</w:t>
            </w:r>
          </w:p>
        </w:tc>
      </w:tr>
      <w:tr>
        <w:tc>
          <w:tcPr>
            <w:tcW w:type="dxa" w:w="30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0"/>
                <w:szCs w:val="20"/>
              </w:rPr>
              <w:t xml:space="preserve">300</w:t>
            </w:r>
          </w:p>
        </w:tc>
        <w:tc>
          <w:tcPr>
            <w:tcW w:type="dxa" w:w="30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20"/>
                <w:szCs w:val="20"/>
              </w:rPr>
              <w:t xml:space="preserve">≈ 109</w:t>
            </w:r>
          </w:p>
        </w:tc>
      </w:tr>
      <w:tr>
        <w:tc>
          <w:tcPr>
            <w:tcW w:type="dxa" w:w="30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0"/>
                <w:szCs w:val="20"/>
              </w:rPr>
              <w:t xml:space="preserve">400</w:t>
            </w:r>
          </w:p>
        </w:tc>
        <w:tc>
          <w:tcPr>
            <w:tcW w:type="dxa" w:w="30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20"/>
                <w:szCs w:val="20"/>
              </w:rPr>
              <w:t xml:space="preserve">≈ 120</w:t>
            </w:r>
          </w:p>
        </w:tc>
      </w:tr>
      <w:tr>
        <w:tc>
          <w:tcPr>
            <w:tcW w:type="dxa" w:w="30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0"/>
                <w:szCs w:val="20"/>
              </w:rPr>
              <w:t xml:space="preserve">500</w:t>
            </w:r>
          </w:p>
        </w:tc>
        <w:tc>
          <w:tcPr>
            <w:tcW w:type="dxa" w:w="30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20"/>
                <w:szCs w:val="20"/>
              </w:rPr>
              <w:t xml:space="preserve">≈ 127</w:t>
            </w:r>
          </w:p>
        </w:tc>
      </w:tr>
      <w:tr>
        <w:tc>
          <w:tcPr>
            <w:tcW w:type="dxa" w:w="30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0"/>
                <w:szCs w:val="20"/>
              </w:rPr>
              <w:t xml:space="preserve">600</w:t>
            </w:r>
          </w:p>
        </w:tc>
        <w:tc>
          <w:tcPr>
            <w:tcW w:type="dxa" w:w="30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20"/>
                <w:szCs w:val="20"/>
              </w:rPr>
              <w:t xml:space="preserve">≈ 133</w:t>
            </w:r>
          </w:p>
        </w:tc>
      </w:tr>
    </w:tbl>
    <w:p>
      <w:r>
        <w:br/>
        <w:t xml:space="preserve"/>
      </w:r>
    </w:p>
    <w:p>
      <w:pPr>
        <w:spacing w:after="0" w:line="480" w:lineRule="auto"/>
        <w:ind w:firstLine="720"/>
        <w:jc w:val="left"/>
      </w:pPr>
      <w:r>
        <w:rPr>
          <w:rFonts w:ascii="Times New Roman" w:cs="Times New Roman" w:eastAsia="Times New Roman" w:hAnsi="Times New Roman"/>
          <w:color w:val="000000"/>
          <w:sz w:val="24"/>
          <w:szCs w:val="24"/>
        </w:rPr>
        <w:t xml:space="preserve">Para todo N razonable entre 250 y 600 atenciones mensuales, n se mantiene entre 100 y 135. Por ello se fija n = 120 como valor de trabajo planificado (V1.2; el piloto exploratorio de la V1.3 usa n = 60), y se recalculará con el registro oficial de la Plataforma antes de iniciar P01; de diferir sustancialmente del rango evaluado, se documentará como incidencia (P16) y se actualizará la muestra.</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2.4.2 Lote 1 de frases reales (modificación V1.2)</w:t>
      </w:r>
    </w:p>
    <w:p>
      <w:pPr>
        <w:spacing w:after="0" w:line="480" w:lineRule="auto"/>
        <w:ind w:firstLine="720"/>
        <w:jc w:val="left"/>
      </w:pPr>
      <w:r>
        <w:rPr>
          <w:rFonts w:ascii="Times New Roman" w:cs="Times New Roman" w:eastAsia="Times New Roman" w:hAnsi="Times New Roman"/>
          <w:color w:val="000000"/>
          <w:sz w:val="24"/>
          <w:szCs w:val="24"/>
        </w:rPr>
        <w:t xml:space="preserve">El Corpus MPSR-Bot es sintético (construcción manual y plantillas coloquiales), por lo que sus resultados no son extrapolables al lenguaje real. Para medir la generalización se incorpora un lote de frases reales (lote 1): entre 15 y 25 personas adultas de Juliaca, de edades y ocupaciones variadas, escriben con sus propias palabras lo que preguntarían al asistente en unas 11 situaciones descritas sin las palabras clave de cada intención. Se emplean 56 situaciones (una por intención y tres para fuera_de_alcance) repartidas en 5 formularios (A–E); con 20 participantes, cada situación queda respondida por 4 personas distintas.</w:t>
      </w:r>
    </w:p>
    <w:p>
      <w:pPr>
        <w:spacing w:after="0" w:line="480" w:lineRule="auto"/>
        <w:ind w:firstLine="720"/>
        <w:jc w:val="left"/>
      </w:pPr>
      <w:r>
        <w:rPr>
          <w:rFonts w:ascii="Times New Roman" w:cs="Times New Roman" w:eastAsia="Times New Roman" w:hAnsi="Times New Roman"/>
          <w:color w:val="000000"/>
          <w:sz w:val="24"/>
          <w:szCs w:val="24"/>
        </w:rPr>
        <w:t xml:space="preserve">La participación es voluntaria, anónima y con consentimiento informado; no se recogen nombres ni datos de contacto. Es una muestra de conveniencia y se declara como limitación. Las frases deben ser escritas por los participantes (no por el tesista ni por una IA). La intención esperada de cada frase proviene de la situación y se revisa manualmente frase por frase antes de usarla, con una segunda revisión en una submuestra y cálculo de kappa de Cohen cuando sea posible. Estado: planificado; los formularios y el catálogo de situaciones están listos.</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2.5 Calidad del dataset (Corpus MPSR-Bot)</w:t>
      </w:r>
    </w:p>
    <w:p>
      <w:pPr>
        <w:spacing w:after="0" w:line="480" w:lineRule="auto"/>
        <w:ind w:firstLine="720"/>
        <w:jc w:val="left"/>
      </w:pPr>
      <w:r>
        <w:rPr>
          <w:rFonts w:ascii="Times New Roman" w:cs="Times New Roman" w:eastAsia="Times New Roman" w:hAnsi="Times New Roman"/>
          <w:color w:val="000000"/>
          <w:sz w:val="24"/>
          <w:szCs w:val="24"/>
        </w:rPr>
        <w:t xml:space="preserve">Antes de entrenar la arquitectura de OE2 se verificará: distribución de utterances por intención y categoría, duplicados y paráfrasis casi idénticas (según el umbral de 2.4), ambigüedad de etiquetado, desbalance entre las 54 intenciones y posibles fuentes de fuga de información (data leakage) cuando varias variantes de una misma frase base terminan repartidas entre entrenamiento y prueba. Toda exclusión o corrección de etiqueta quedará registrada y justificada.</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2.6 Métodos a comparar (soporte técnico de OE2)</w:t>
      </w:r>
    </w:p>
    <w:p>
      <w:pPr>
        <w:spacing w:after="0" w:line="480" w:lineRule="auto"/>
        <w:ind w:firstLine="720"/>
        <w:jc w:val="left"/>
      </w:pPr>
      <w:r>
        <w:rPr>
          <w:rFonts w:ascii="Times New Roman" w:cs="Times New Roman" w:eastAsia="Times New Roman" w:hAnsi="Times New Roman"/>
          <w:color w:val="000000"/>
          <w:sz w:val="24"/>
          <w:szCs w:val="24"/>
        </w:rPr>
        <w:t xml:space="preserve">Como línea base (Machine Learning) se emplea TF-IDF + SVM (o regresión logística) sobre las utterances. Como método propuesto para la arquitectura final (Deep Learning conversacional) se emplea Rasa NLU con DIET classifier. Ambos se evalúan bajo las mismas particiones, semillas y condiciones para garantizar una comparación justa antes de fijar la arquitectura que se implementa en OE2.</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2.7 Métricas</w:t>
      </w:r>
    </w:p>
    <w:p>
      <w:pPr>
        <w:spacing w:after="0" w:line="480" w:lineRule="auto"/>
        <w:ind w:firstLine="720"/>
        <w:jc w:val="left"/>
      </w:pPr>
      <w:r>
        <w:rPr>
          <w:rFonts w:ascii="Times New Roman" w:cs="Times New Roman" w:eastAsia="Times New Roman" w:hAnsi="Times New Roman"/>
          <w:color w:val="000000"/>
          <w:sz w:val="24"/>
          <w:szCs w:val="24"/>
        </w:rPr>
        <w:t xml:space="preserve">Para la clasificación de intenciones (OE2): Accuracy, Precision macro, Recall macro, F1 macro y Balanced Accuracy, además de la matriz de confusión por intención. Métrica principal: F1-Score macro, con criterio de aceptación F1 ≥ 0.85. Para OE1/OE3: tiempo de respuesta antes y después de la implementación, con meta de reducción ≥ 60 %. Para OE4: satisfacción ciudadana en escala Likert de 5 puntos, con meta ≥ 4.0/5.0. Adicionalmente se documenta la disponibilidad del canal (24/7) como evidencia complementaria de OE2/OE3. Desde V1.2, las métricas sobre el conjunto real se reportan con intervalos de confianza del 95 % (bootstrap sobre frases) y la comparación entre Rasa/DIET y el baseline se contrasta con una prueba pareada (McNemar exacto) sobre las mismas frases.</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2.8 Preparación y división de datos</w:t>
      </w:r>
    </w:p>
    <w:p>
      <w:pPr>
        <w:spacing w:after="0" w:line="480" w:lineRule="auto"/>
        <w:ind w:firstLine="720"/>
        <w:jc w:val="left"/>
      </w:pPr>
      <w:r>
        <w:rPr>
          <w:rFonts w:ascii="Times New Roman" w:cs="Times New Roman" w:eastAsia="Times New Roman" w:hAnsi="Times New Roman"/>
          <w:color w:val="000000"/>
          <w:sz w:val="24"/>
          <w:szCs w:val="24"/>
        </w:rPr>
        <w:t xml:space="preserve">Las utterances del Corpus MPSR-Bot pasan por normalización de texto (minúsculas, tildes, jerga local de Juliaca/Puno), limpieza y tokenización. Partición V1.1 (ejecutada): por grupo de paráfrasis (base_phrase_id), con semilla 42 y estratificada por intención. El objetivo nominal era 70/15/15, pero con 4 grupos por intención 3 pasan a entrenamiento y el cuarto se asigna alternadamente a validación o a prueba, de modo que la proporción real en la V1.1 (corpus v2, 648 frases) es 486/81/81, es decir 75 % / 12.5 % / 12.5 %. El corpus vigente (v3, 708 frases) agrega 60 frases solo a entrenamiento; validación y test no cambian. Defecto detectado en P11.1: cada intención queda evaluada en una sola de las dos particiones, de modo que el test mide 27 de las 54 intenciones y la validación las otras 27. Partición V1.2 (planificada, depende del lote 1): entrenamiento = frases sintéticas; validación y prueba = frases reales, repartidas por intención (aproximadamente mitad y mitad, con al menos una en cada una), de modo que las 54 intenciones aparezcan en las tres particiones; las frases reales no se usan para entrenar. El conjunto de prueba no se usa para ajustar hiperparámetros ni seleccionar el modelo final.</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2.9 Estrategia de Machine Learning (baseline interno de OE2)</w:t>
      </w:r>
    </w:p>
    <w:p>
      <w:pPr>
        <w:spacing w:after="0" w:line="480" w:lineRule="auto"/>
        <w:ind w:firstLine="720"/>
        <w:jc w:val="left"/>
      </w:pPr>
      <w:r>
        <w:rPr>
          <w:rFonts w:ascii="Times New Roman" w:cs="Times New Roman" w:eastAsia="Times New Roman" w:hAnsi="Times New Roman"/>
          <w:color w:val="000000"/>
          <w:sz w:val="24"/>
          <w:szCs w:val="24"/>
        </w:rPr>
        <w:t xml:space="preserve">Flujo: utterance → limpieza/tokenización → vectorización TF-IDF (max_features = 5 000, ngram_range = (1,2)) → clasificador → intención predicha. Hiperparámetros fijados antes del entrenamiento: SVM con kernel lineal, explorando C ∈ {0.1, 1, 10} (se conserva el valor con mejor F1 en validación); alternativa de regresión logística con C = 1.0, max_iter = 1000. Semilla: 42 en todas las corridas.</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2.10 Estrategia de Deep Learning conversacional (arquitectura final de OE2: Rasa NLU / DIET)</w:t>
      </w:r>
    </w:p>
    <w:p>
      <w:pPr>
        <w:spacing w:after="0" w:line="480" w:lineRule="auto"/>
        <w:ind w:firstLine="720"/>
        <w:jc w:val="left"/>
      </w:pPr>
      <w:r>
        <w:rPr>
          <w:rFonts w:ascii="Times New Roman" w:cs="Times New Roman" w:eastAsia="Times New Roman" w:hAnsi="Times New Roman"/>
          <w:color w:val="000000"/>
          <w:sz w:val="24"/>
          <w:szCs w:val="24"/>
        </w:rPr>
        <w:t xml:space="preserve">Flujo: utterance → tokenización (WhitespaceTokenizer) → featurización (CountVectorsFeaturizer, n-gramas de caracteres 1–4) → DIETClassifier (transformer) → intención + entidades → política de diálogo (stories/rules/forms) → acción/respuesta. Hiperparámetros fijados antes del entrenamiento: epochs ∈ {100, 150, 200}, batch_size ∈ {64, 128} (rango recomendado por Rasa), embedding_dimension ∈ {20, 50}, learning_rate = 0.001, constrain_similarities = true; se conserva la combinación con mejor F1 macro en validación (early stopping con evaluate_on_number_of_examples). Semilla: 42 en todas las corridas. Esta es la arquitectura que se construye a partir del TUPA, la información institucional y los procedimientos administrativos de la MPSR, según establece OE2.</w:t>
      </w:r>
    </w:p>
    <w:p>
      <w:pPr>
        <w:spacing w:after="0" w:line="480" w:lineRule="auto"/>
        <w:ind w:firstLine="720"/>
        <w:jc w:val="left"/>
      </w:pPr>
      <w:r>
        <w:rPr>
          <w:rFonts w:ascii="Times New Roman" w:cs="Times New Roman" w:eastAsia="Times New Roman" w:hAnsi="Times New Roman"/>
          <w:color w:val="000000"/>
          <w:sz w:val="24"/>
          <w:szCs w:val="24"/>
        </w:rPr>
        <w:t xml:space="preserve">Modificación V1.2 (planificada): umbral de confianza. Se agrega un FallbackClassifier que responde “no entendí” cuando la confianza de la intención predicha es inferior a un umbral t. El umbral se elige exclusivamente en la validación real, con un criterio fijado antes de ver resultados: t entre 0.30 y 0.80 y puntaje = aciertos con respuesta − 2 × errores con respuesta (una respuesta equivocada dada con seguridad perjudica más al ciudadano que una abstención). El umbral elegido se evalúa una sola vez en test y se reportan cobertura, precisión de lo respondido, errores atrapados y aciertos perdidos. En el smoke test de P11.1, 9 de 10 errores habrían pasado a “no entendí” a costa de 6 de 44 aciertos; esa cifra es indicativa y no se usa para fijar el umbral.</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2.11 Pruebas técnicas internas (control de calidad del sistema)</w:t>
      </w:r>
    </w:p>
    <w:p>
      <w:pPr>
        <w:spacing w:after="0" w:line="480" w:lineRule="auto"/>
        <w:ind w:firstLine="720"/>
        <w:jc w:val="left"/>
      </w:pPr>
      <w:r>
        <w:rPr>
          <w:rFonts w:ascii="Times New Roman" w:cs="Times New Roman" w:eastAsia="Times New Roman" w:hAnsi="Times New Roman"/>
          <w:color w:val="000000"/>
          <w:sz w:val="24"/>
          <w:szCs w:val="24"/>
        </w:rPr>
        <w:t xml:space="preserve">Antes de que cualquier persona ajena al desarrollo interactúe con el chatbot (incluido el pre-piloto de la Sección 2.12), se ejecuta una batería de pruebas puramente técnicas, realizadas por el propio tesista, sobre el sistema integrado (NLU + gestión del diálogo construida en OE2).</w:t>
      </w:r>
    </w:p>
    <w:p>
      <w:pPr>
        <w:spacing w:after="0" w:line="480" w:lineRule="auto"/>
        <w:ind w:left="720" w:hanging="360"/>
        <w:jc w:val="left"/>
      </w:pPr>
      <w:r>
        <w:rPr>
          <w:rFonts w:ascii="Times New Roman" w:cs="Times New Roman" w:eastAsia="Times New Roman" w:hAnsi="Times New Roman"/>
          <w:color w:val="000000"/>
          <w:sz w:val="24"/>
          <w:szCs w:val="24"/>
        </w:rPr>
        <w:t xml:space="preserve">• Validación de datos: 'rasa data validate' para detectar conflictos o contradicciones entre stories y rules antes de entrenar el modelo de diálogo.</w:t>
      </w:r>
    </w:p>
    <w:p>
      <w:pPr>
        <w:spacing w:after="0" w:line="480" w:lineRule="auto"/>
        <w:ind w:left="720" w:hanging="360"/>
        <w:jc w:val="left"/>
      </w:pPr>
      <w:r>
        <w:rPr>
          <w:rFonts w:ascii="Times New Roman" w:cs="Times New Roman" w:eastAsia="Times New Roman" w:hAnsi="Times New Roman"/>
          <w:color w:val="000000"/>
          <w:sz w:val="24"/>
          <w:szCs w:val="24"/>
        </w:rPr>
        <w:t xml:space="preserve">• Validación cruzada del NLU: 'rasa test nlu --cross-validation' sobre el Corpus MPSR-Bot, como verificación preliminar de desempeño antes de cualquier despliegue.</w:t>
      </w:r>
    </w:p>
    <w:p>
      <w:pPr>
        <w:spacing w:after="0" w:line="480" w:lineRule="auto"/>
        <w:ind w:left="720" w:hanging="360"/>
        <w:jc w:val="left"/>
      </w:pPr>
      <w:r>
        <w:rPr>
          <w:rFonts w:ascii="Times New Roman" w:cs="Times New Roman" w:eastAsia="Times New Roman" w:hAnsi="Times New Roman"/>
          <w:color w:val="000000"/>
          <w:sz w:val="24"/>
          <w:szCs w:val="24"/>
        </w:rPr>
        <w:t xml:space="preserve">• Pruebas del modelo de diálogo: 'rasa test core' sobre el conjunto de stories, para confirmar que el sistema predice la acción correcta ante cada secuencia de conversación.</w:t>
      </w:r>
    </w:p>
    <w:p>
      <w:pPr>
        <w:spacing w:after="0" w:line="480" w:lineRule="auto"/>
        <w:ind w:left="720" w:hanging="360"/>
        <w:jc w:val="left"/>
      </w:pPr>
      <w:r>
        <w:rPr>
          <w:rFonts w:ascii="Times New Roman" w:cs="Times New Roman" w:eastAsia="Times New Roman" w:hAnsi="Times New Roman"/>
          <w:color w:val="000000"/>
          <w:sz w:val="24"/>
          <w:szCs w:val="24"/>
        </w:rPr>
        <w:t xml:space="preserve">• Pruebas unitarias de custom actions (pytest): cada acción personalizada se prueba con entradas controladas y su salida esperada.</w:t>
      </w:r>
    </w:p>
    <w:p>
      <w:pPr>
        <w:spacing w:after="0" w:line="480" w:lineRule="auto"/>
        <w:ind w:left="720" w:hanging="360"/>
        <w:jc w:val="left"/>
      </w:pPr>
      <w:r>
        <w:rPr>
          <w:rFonts w:ascii="Times New Roman" w:cs="Times New Roman" w:eastAsia="Times New Roman" w:hAnsi="Times New Roman"/>
          <w:color w:val="000000"/>
          <w:sz w:val="24"/>
          <w:szCs w:val="24"/>
        </w:rPr>
        <w:t xml:space="preserve">• Smoke test manual: el tesista recorre, vía 'rasa shell', las 54 intenciones del corpus una por una, confirmando que cada una dispara la respuesta correcta.</w:t>
      </w:r>
    </w:p>
    <w:p>
      <w:pPr>
        <w:spacing w:after="0" w:line="480" w:lineRule="auto"/>
        <w:ind w:firstLine="720"/>
        <w:jc w:val="left"/>
      </w:pPr>
      <w:r>
        <w:rPr>
          <w:rFonts w:ascii="Times New Roman" w:cs="Times New Roman" w:eastAsia="Times New Roman" w:hAnsi="Times New Roman"/>
          <w:color w:val="000000"/>
          <w:sz w:val="24"/>
          <w:szCs w:val="24"/>
        </w:rPr>
        <w:t xml:space="preserve">Criterio de salida de este nivel: cero conflictos detectados en la validación de datos, F1 preliminar razonable en la validación cruzada, y las 54 intenciones respondiendo sin errores en el smoke test. Solo al cumplirse estos tres criterios se avanza al pre-piloto con personas (Sección 2.12). Cualquier falla encontrada aquí se corrige y se documenta en incident_log.csv (P16) antes de continuar.</w:t>
      </w:r>
    </w:p>
    <w:p>
      <w:pPr>
        <w:spacing w:after="0" w:line="480" w:lineRule="auto"/>
        <w:ind w:firstLine="720"/>
        <w:jc w:val="left"/>
      </w:pPr>
      <w:r>
        <w:rPr>
          <w:rFonts w:ascii="Times New Roman" w:cs="Times New Roman" w:eastAsia="Times New Roman" w:hAnsi="Times New Roman"/>
          <w:color w:val="000000"/>
          <w:sz w:val="24"/>
          <w:szCs w:val="24"/>
        </w:rPr>
        <w:t xml:space="preserve">Resultado de la ejecución (estado: ejecutado con el corpus v3, de 708 frases; criterio de salida no cumplido). rasa data validate: 0 conflictos. F1 macro en test (partición de P05): Rasa/DIET 0.624 y SVM 0.648. F1 macro en validación cruzada agrupada por base_phrase_id (StratifiedGroupKFold): Rasa/DIET 0.655 y SVM 0.637; la validación cruzada nativa de Rasa (0.778) se descarta por fuga de paráfrasis entre entrenamiento y prueba. Smoke test con consultas nuevas: 44 de 54 intenciones correctas. Las pruebas unitarias de custom actions no aplican porque el chatbot no tiene acciones personalizadas. Al no cumplirse el criterio no se avanza al pre-piloto; las causas y las medidas adoptadas se registran en la Sección 5.</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2.12 Pre-piloto y validación del instrumento (modificado en V1.2)</w:t>
      </w:r>
    </w:p>
    <w:p>
      <w:pPr>
        <w:spacing w:after="0" w:line="480" w:lineRule="auto"/>
        <w:ind w:firstLine="720"/>
        <w:jc w:val="left"/>
      </w:pPr>
      <w:r>
        <w:rPr>
          <w:rFonts w:ascii="Times New Roman" w:cs="Times New Roman" w:eastAsia="Times New Roman" w:hAnsi="Times New Roman"/>
          <w:color w:val="000000"/>
          <w:sz w:val="24"/>
          <w:szCs w:val="24"/>
        </w:rPr>
        <w:t xml:space="preserve">Modificación V1.2 (adoptada). El pre-piloto se divide en dos etapas, porque exigir F1 ≥ 0.75 para entrar al pre-piloto era circular: el pre-piloto con personas es la vía más económica de obtener lenguaje real, y el Alfa de Cronbach del instrumento Likert no depende del desempeño del NLU. La decisión se tomó a partir de los resultados de P11.1 y antes de observar resultados del pre-piloto.</w:t>
      </w:r>
    </w:p>
    <w:p>
      <w:pPr>
        <w:spacing w:after="0" w:line="480" w:lineRule="auto"/>
        <w:ind w:firstLine="720"/>
        <w:jc w:val="left"/>
      </w:pPr>
      <w:r>
        <w:rPr>
          <w:rFonts w:ascii="Times New Roman" w:cs="Times New Roman" w:eastAsia="Times New Roman" w:hAnsi="Times New Roman"/>
          <w:color w:val="000000"/>
          <w:sz w:val="24"/>
          <w:szCs w:val="24"/>
        </w:rPr>
        <w:t xml:space="preserve">Etapa (a) — Recolección de lenguaje real y refinamiento (P11.2a). Se aplica el lote 1 (Sección 2.4.2) y, con sus resultados, se refina el chatbot (umbral de confianza, ajustes de corpus y de respuestas). No tiene umbral de F1 de entrada. Estado: planificado.</w:t>
      </w:r>
    </w:p>
    <w:p>
      <w:pPr>
        <w:spacing w:after="0" w:line="480" w:lineRule="auto"/>
        <w:ind w:firstLine="720"/>
        <w:jc w:val="left"/>
      </w:pPr>
      <w:r>
        <w:rPr>
          <w:rFonts w:ascii="Times New Roman" w:cs="Times New Roman" w:eastAsia="Times New Roman" w:hAnsi="Times New Roman"/>
          <w:color w:val="000000"/>
          <w:sz w:val="24"/>
          <w:szCs w:val="24"/>
        </w:rPr>
        <w:t xml:space="preserve">Etapa (b) — Pre-piloto formal (P11.2b). Un grupo de 5 a 15 personas (personal de la Plataforma de Atención y/o voluntarios), distinto e independiente de las 60 personas del piloto exploratorio, prueba el chatbot desplegado en un entorno mínimo (asistente local en una laptop, widget web o canal de WhatsApp/Telegram) con un guion de 15 a 20 consultas (2 a 3 por categoría) y responde la encuesta de satisfacción; se calcula el Alfa de Cronbach (≥ 0.70 indica consistencia aceptable; si es menor, se ajustan los ítems). Estas personas no vuelven a participar en el piloto final. El pre-piloto ensaya el mismo procedimiento de la sesión asistida (Sección 2.4). Estado: pendiente de la etapa (a).</w:t>
      </w:r>
    </w:p>
    <w:p>
      <w:pPr>
        <w:spacing w:after="0" w:line="480" w:lineRule="auto"/>
        <w:ind w:firstLine="720"/>
        <w:jc w:val="left"/>
      </w:pPr>
      <w:r>
        <w:rPr>
          <w:rFonts w:ascii="Times New Roman" w:cs="Times New Roman" w:eastAsia="Times New Roman" w:hAnsi="Times New Roman"/>
          <w:color w:val="000000"/>
          <w:sz w:val="24"/>
          <w:szCs w:val="24"/>
        </w:rPr>
        <w:t xml:space="preserve">Criterio de salida del pre-piloto formal. Se pasa al piloto a escala completa (P12) solo si se cumplen de manera simultánea: F1 ≥ 0.75 sobre el conjunto real retenido (validación y test del lote 1) y Alfa de Cronbach ≥ 0.70. El umbral de 0.75, más permisivo que el 0.85 exigido en la evaluación final de OE2, se mantiene como condición de la etapa (b). Toda incidencia detectada se registra en incident_log.csv (P16) y se corrige antes de avanzar.</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2.13 Evaluación del efecto en la atención ciudadana (OE1 → OE3 → OE4)</w:t>
      </w:r>
    </w:p>
    <w:p>
      <w:pPr>
        <w:spacing w:after="0" w:line="480" w:lineRule="auto"/>
        <w:ind w:firstLine="720"/>
        <w:jc w:val="left"/>
      </w:pPr>
      <w:r>
        <w:rPr>
          <w:rFonts w:ascii="Times New Roman" w:cs="Times New Roman" w:eastAsia="Times New Roman" w:hAnsi="Times New Roman"/>
          <w:color w:val="000000"/>
          <w:sz w:val="24"/>
          <w:szCs w:val="24"/>
        </w:rPr>
        <w:t xml:space="preserve">Todos los métodos de clasificación se evalúan bajo las mismas condiciones (mismas particiones y semillas) para fijar la arquitectura de OE2. El efecto del chatbot sobre la atención ciudadana se evalúa mediante el diseño pre-test/post-test de un solo grupo (Sección 2.4; piloto exploratorio n = 60, en una sola sesión asistida): el pre-test es el diagnóstico de OE1 (tiempos, limitaciones y satisfacción con la atención presencial) y el post-test es la medición de OE3 (tiempo de respuesta con el chatbot) y OE4 (satisfacción ciudadana), aplicados sobre los mismos sujetos. Antes de aplicar la prueba de hipótesis se verificará el supuesto de normalidad de las diferencias pre/post con la prueba de Shapiro-Wilk (α = 0.05): si se cumple la normalidad, se aplica la prueba t de Student para muestras pareadas; si no se cumple, se aplica su alternativa no paramétrica, la prueba de Wilcoxon (rangos con signo), manteniendo el mismo nivel de significancia α = 0.05.</w:t>
      </w:r>
    </w:p>
    <w:p>
      <w:pPr>
        <w:pStyle w:val="Heading1"/>
        <w:spacing w:after="240" w:before="240" w:line="480" w:lineRule="auto"/>
        <w:jc w:val="center"/>
      </w:pPr>
      <w:r>
        <w:rPr>
          <w:rFonts w:ascii="Times New Roman" w:cs="Times New Roman" w:eastAsia="Times New Roman" w:hAnsi="Times New Roman"/>
          <w:b/>
          <w:bCs/>
          <w:color w:val="000000"/>
          <w:sz w:val="24"/>
          <w:szCs w:val="24"/>
        </w:rPr>
        <w:t xml:space="preserve">3. Protocolo experimental V1.3</w:t>
      </w:r>
    </w:p>
    <w:p>
      <w:pPr>
        <w:spacing w:after="0" w:line="480" w:lineRule="auto"/>
        <w:ind w:firstLine="720"/>
        <w:jc w:val="left"/>
      </w:pPr>
      <w:r>
        <w:rPr>
          <w:rFonts w:ascii="Times New Roman" w:cs="Times New Roman" w:eastAsia="Times New Roman" w:hAnsi="Times New Roman"/>
          <w:i/>
          <w:iCs/>
          <w:color w:val="000000"/>
          <w:sz w:val="24"/>
          <w:szCs w:val="24"/>
        </w:rPr>
        <w:t xml:space="preserve">El protocolo convierte la metodología en pasos concretos de ejecución. El flujo experimental general es: Corpus MPSR-Bot → auditoría → control de fuga → partición → preprocesamiento → entrenamiento (baseline y Rasa/DIET) → repeticiones → evaluación funcional → pruebas técnicas internas → recolección de lenguaje real y refinamiento → pre-piloto formal → piloto a escala completa → verificación de supuestos → análisis estadístico → reproducibilidad → incidencias.</w:t>
      </w:r>
    </w:p>
    <w:p>
      <w:pPr>
        <w:spacing w:after="0" w:line="480" w:lineRule="auto"/>
        <w:ind w:firstLine="720"/>
        <w:jc w:val="left"/>
      </w:pPr>
      <w:r>
        <w:rPr>
          <w:rFonts w:ascii="Times New Roman" w:cs="Times New Roman" w:eastAsia="Times New Roman" w:hAnsi="Times New Roman"/>
          <w:color w:val="000000"/>
          <w:sz w:val="24"/>
          <w:szCs w:val="24"/>
        </w:rPr>
        <w:t xml:space="preserve">Estados utilizados en la tabla y en la matriz: ejecutado (realizado con código y datos reales; el corpus es sintético salvo que se indique lo contrario), simulado (ejecutado con datos generados para demostrar el pipeline del curso; no son hallazgos de campo), planificado (definido y con materiales listos, aún no ejecutado) y adoptado (decisión de diseño vigente).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50"/>
        <w:gridCol w:w="5700"/>
        <w:gridCol w:w="1310"/>
      </w:tblGrid>
      <w:tr>
        <w:trPr>
          <w:tblHeader/>
        </w:trPr>
        <w:tc>
          <w:tcPr>
            <w:tcW w:type="dxa" w:w="7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ID</w:t>
            </w:r>
          </w:p>
        </w:tc>
        <w:tc>
          <w:tcPr>
            <w:tcW w:type="dxa" w:w="165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Paso</w:t>
            </w:r>
          </w:p>
        </w:tc>
        <w:tc>
          <w:tcPr>
            <w:tcW w:type="dxa" w:w="57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Descripción</w:t>
            </w:r>
          </w:p>
        </w:tc>
        <w:tc>
          <w:tcPr>
            <w:tcW w:type="dxa" w:w="131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Estado</w:t>
            </w:r>
          </w:p>
        </w:tc>
      </w:tr>
      <w:tr>
        <w:trPr>
          <w:cantSplit/>
        </w:trPr>
        <w:tc>
          <w:tcPr>
            <w:tcW w:type="dxa" w:w="7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P01</w:t>
            </w:r>
          </w:p>
        </w:tc>
        <w:tc>
          <w:tcPr>
            <w:tcW w:type="dxa" w:w="16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Diagnóstico de canales actuales (OE1)</w:t>
            </w:r>
          </w:p>
        </w:tc>
        <w:tc>
          <w:tcPr>
            <w:tcW w:type="dxa" w:w="5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Relevar, mediante autoreporte retrospectivo, la experiencia de los últimos 12 meses con la atención presencial (TramiFácil es uso interno del personal; no se reporta como canal ciudadano). V1.3: la línea base se recoge como Parte 1 de la sesión asistida (mismo contenido que la Ficha de Diagnóstico P01), en la misma visita en que la persona prueba el chatbot; sin WhatsApp ni seguimiento. Reclutamiento: estudios contables/jurídicos de Juliaca (muestreo por cuotas, ver Sección 2.4). Tamaño: n = 60 sesiones elegibles (piloto exploratorio; el n = 120 de la V1.2 queda como valor planificado). La línea base simulada de 120 respuestas solo demuestra el pipeline; no es trabajo de campo real.</w:t>
            </w:r>
          </w:p>
        </w:tc>
        <w:tc>
          <w:tcPr>
            <w:tcW w:type="dxa" w:w="131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Simulado; real planificado (sesión asistida)</w:t>
            </w:r>
          </w:p>
        </w:tc>
      </w:tr>
      <w:tr>
        <w:trPr>
          <w:cantSplit/>
        </w:trPr>
        <w:tc>
          <w:tcPr>
            <w:tcW w:type="dxa" w:w="7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P02</w:t>
            </w:r>
          </w:p>
        </w:tc>
        <w:tc>
          <w:tcPr>
            <w:tcW w:type="dxa" w:w="16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Adquisición y registro del corpus (OE2)</w:t>
            </w:r>
          </w:p>
        </w:tc>
        <w:tc>
          <w:tcPr>
            <w:tcW w:type="dxa" w:w="57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Registrar fuente (construcción manual y plantillas coloquiales, pendiente de contrastar con el TUPA oficial), fecha/versión, nº de utterances, intenciones y categorías. Crear corpus_metadata.csv con utterance_id, intent, category, source, base_phrase_id y split. V1.2: el lote 1 de frases reales (Sección 2.4.2) se registra como fuente separada.</w:t>
            </w:r>
          </w:p>
        </w:tc>
        <w:tc>
          <w:tcPr>
            <w:tcW w:type="dxa" w:w="131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Ejecutado (sintético); lote 1 planificado</w:t>
            </w:r>
          </w:p>
        </w:tc>
      </w:tr>
      <w:tr>
        <w:trPr>
          <w:cantSplit/>
        </w:trPr>
        <w:tc>
          <w:tcPr>
            <w:tcW w:type="dxa" w:w="7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P03</w:t>
            </w:r>
          </w:p>
        </w:tc>
        <w:tc>
          <w:tcPr>
            <w:tcW w:type="dxa" w:w="16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Auditoría inicial (OE2)</w:t>
            </w:r>
          </w:p>
        </w:tc>
        <w:tc>
          <w:tcPr>
            <w:tcW w:type="dxa" w:w="5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Verificar duplicados (similitud de Jaccard o Levenshtein normalizada ≥ 0.90 dentro de la misma intención), utterances ambiguas, distribución por intención/categoría y desbalance entre las 54 intenciones. Evidencias: corpus_audit.csv y reporte de auditoría.</w:t>
            </w:r>
          </w:p>
        </w:tc>
        <w:tc>
          <w:tcPr>
            <w:tcW w:type="dxa" w:w="131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Ejecutado</w:t>
            </w:r>
          </w:p>
        </w:tc>
      </w:tr>
      <w:tr>
        <w:trPr>
          <w:cantSplit/>
        </w:trPr>
        <w:tc>
          <w:tcPr>
            <w:tcW w:type="dxa" w:w="7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P04</w:t>
            </w:r>
          </w:p>
        </w:tc>
        <w:tc>
          <w:tcPr>
            <w:tcW w:type="dxa" w:w="16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Control de fuga por paráfrasis (OE2)</w:t>
            </w:r>
          </w:p>
        </w:tc>
        <w:tc>
          <w:tcPr>
            <w:tcW w:type="dxa" w:w="57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Agrupar variantes de una misma frase base (umbral de similitud ≥ 0.90) con base_phrase_id. Ningún grupo podrá aparecer repartido entre train, validation y test.</w:t>
            </w:r>
          </w:p>
        </w:tc>
        <w:tc>
          <w:tcPr>
            <w:tcW w:type="dxa" w:w="131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Ejecutado</w:t>
            </w:r>
          </w:p>
        </w:tc>
      </w:tr>
      <w:tr>
        <w:trPr>
          <w:cantSplit/>
        </w:trPr>
        <w:tc>
          <w:tcPr>
            <w:tcW w:type="dxa" w:w="7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P05</w:t>
            </w:r>
          </w:p>
        </w:tc>
        <w:tc>
          <w:tcPr>
            <w:tcW w:type="dxa" w:w="16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División de datos (OE2)</w:t>
            </w:r>
          </w:p>
        </w:tc>
        <w:tc>
          <w:tcPr>
            <w:tcW w:type="dxa" w:w="5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Aplicar partición 70/15/15 con semilla registrada (42); agrupar por base_phrase_id. Registrar en dataset_split.csv. El test permanece aislado hasta la evaluación final. Resultado ejecutado en la V1.1 (corpus v2): 486/81/81 = 75 / 12.5 / 12.5 % (con 4 grupos por intención, 3 van a entrenamiento y el cuarto alterna entre validación y test; el 70/15/15 era el objetivo nominal). El corpus v3 agrega 60 frases solo a entrenamiento. Modificación V1.2: entrenamiento = frases sintéticas; validación y test = frases reales del lote 1, con las 54 intenciones en las tres particiones (la partición V1.1 deja 27 de 54 intenciones en test).</w:t>
            </w:r>
          </w:p>
        </w:tc>
        <w:tc>
          <w:tcPr>
            <w:tcW w:type="dxa" w:w="131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V1.1 ejecutado; V1.2 planificado</w:t>
            </w:r>
          </w:p>
        </w:tc>
      </w:tr>
      <w:tr>
        <w:trPr>
          <w:cantSplit/>
        </w:trPr>
        <w:tc>
          <w:tcPr>
            <w:tcW w:type="dxa" w:w="7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P06</w:t>
            </w:r>
          </w:p>
        </w:tc>
        <w:tc>
          <w:tcPr>
            <w:tcW w:type="dxa" w:w="16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Preprocesamiento NLU (OE2)</w:t>
            </w:r>
          </w:p>
        </w:tc>
        <w:tc>
          <w:tcPr>
            <w:tcW w:type="dxa" w:w="57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Normalización de texto (minúsculas, tildes, jerga local), tokenización y featurización (TF-IDF para baseline; CountVectors/embeddings para Rasa).</w:t>
            </w:r>
          </w:p>
        </w:tc>
        <w:tc>
          <w:tcPr>
            <w:tcW w:type="dxa" w:w="131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Ejecutado</w:t>
            </w:r>
          </w:p>
        </w:tc>
      </w:tr>
      <w:tr>
        <w:trPr>
          <w:cantSplit/>
        </w:trPr>
        <w:tc>
          <w:tcPr>
            <w:tcW w:type="dxa" w:w="7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P07</w:t>
            </w:r>
          </w:p>
        </w:tc>
        <w:tc>
          <w:tcPr>
            <w:tcW w:type="dxa" w:w="16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Experimento baseline (ML) (OE2)</w:t>
            </w:r>
          </w:p>
        </w:tc>
        <w:tc>
          <w:tcPr>
            <w:tcW w:type="dxa" w:w="5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Pipeline: utterance → TF-IDF (max_features=5000, ngram_range=(1,2)) → SVM (kernel lineal, C∈{0.1,1,10}) o regresión logística (C=1.0, max_iter=1000) → intención. Seed=42 en todas las corridas; se conserva el C con mejor F1 en validación.</w:t>
            </w:r>
          </w:p>
        </w:tc>
        <w:tc>
          <w:tcPr>
            <w:tcW w:type="dxa" w:w="131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Ejecutado</w:t>
            </w:r>
          </w:p>
        </w:tc>
      </w:tr>
      <w:tr>
        <w:trPr>
          <w:cantSplit/>
        </w:trPr>
        <w:tc>
          <w:tcPr>
            <w:tcW w:type="dxa" w:w="7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P08</w:t>
            </w:r>
          </w:p>
        </w:tc>
        <w:tc>
          <w:tcPr>
            <w:tcW w:type="dxa" w:w="16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Experimento Rasa NLU / DIET (OE2)</w:t>
            </w:r>
          </w:p>
        </w:tc>
        <w:tc>
          <w:tcPr>
            <w:tcW w:type="dxa" w:w="57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Pipeline Rasa: WhitespaceTokenizer + CountVectorsFeaturizer (n-gramas de caracteres 1–4) + DIETClassifier. Grilla fijada: epochs∈{100,150,200}, batch_size∈{64,128}, embedding_dimension∈{20,50}, learning_rate=0.001, constrain_similarities=true. Seed=42; se conserva la combinación con mejor F1 en validación (early stopping por evaluate_on_number_of_examples).</w:t>
            </w:r>
          </w:p>
        </w:tc>
        <w:tc>
          <w:tcPr>
            <w:tcW w:type="dxa" w:w="131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Ejecutado</w:t>
            </w:r>
          </w:p>
        </w:tc>
      </w:tr>
      <w:tr>
        <w:trPr>
          <w:cantSplit/>
        </w:trPr>
        <w:tc>
          <w:tcPr>
            <w:tcW w:type="dxa" w:w="7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P09</w:t>
            </w:r>
          </w:p>
        </w:tc>
        <w:tc>
          <w:tcPr>
            <w:tcW w:type="dxa" w:w="16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Gestión del diálogo (OE2)</w:t>
            </w:r>
          </w:p>
        </w:tc>
        <w:tc>
          <w:tcPr>
            <w:tcW w:type="dxa" w:w="5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Documentar stories, rules, forms y custom actions que completan la conversación con el ciudadano, usando el TUPA y la información institucional de la MPSR. Estado: 54 de 54 respuestas redactadas en domain.yml; 40 de las 44 de trámites llevan la marca [Verificar] (datos típicos de un TUPA peruano, no del TUPA real de la MPSR). V1.2: se agrega el umbral de confianza (Sección 2.10).</w:t>
            </w:r>
          </w:p>
        </w:tc>
        <w:tc>
          <w:tcPr>
            <w:tcW w:type="dxa" w:w="131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Respuestas ejecutadas; umbral planificado</w:t>
            </w:r>
          </w:p>
        </w:tc>
      </w:tr>
      <w:tr>
        <w:trPr>
          <w:cantSplit/>
        </w:trPr>
        <w:tc>
          <w:tcPr>
            <w:tcW w:type="dxa" w:w="7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P10</w:t>
            </w:r>
          </w:p>
        </w:tc>
        <w:tc>
          <w:tcPr>
            <w:tcW w:type="dxa" w:w="16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Repeticiones (OE2)</w:t>
            </w:r>
          </w:p>
        </w:tc>
        <w:tc>
          <w:tcPr>
            <w:tcW w:type="dxa" w:w="57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Ejecutar múltiples corridas independientes del baseline y de Rasa/DIET con semillas predefinidas (10, 20, 30, 40, 50) para estimar variabilidad.</w:t>
            </w:r>
          </w:p>
        </w:tc>
        <w:tc>
          <w:tcPr>
            <w:tcW w:type="dxa" w:w="131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Ejecutado</w:t>
            </w:r>
          </w:p>
        </w:tc>
      </w:tr>
      <w:tr>
        <w:trPr>
          <w:cantSplit/>
        </w:trPr>
        <w:tc>
          <w:tcPr>
            <w:tcW w:type="dxa" w:w="7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P11</w:t>
            </w:r>
          </w:p>
        </w:tc>
        <w:tc>
          <w:tcPr>
            <w:tcW w:type="dxa" w:w="16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Métricas de clasificación (OE2)</w:t>
            </w:r>
          </w:p>
        </w:tc>
        <w:tc>
          <w:tcPr>
            <w:tcW w:type="dxa" w:w="5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Calcular Accuracy, Precision macro, Recall macro, F1 macro y Balanced Accuracy, además de la matriz de confusión por intención, para cada repetición. Se fija la arquitectura final con F1 ≥ 0.85. V1.2: el reporte sobre el conjunto real incluye IC95 % bootstrap y prueba pareada (McNemar) entre Rasa/DIET y el baseline.</w:t>
            </w:r>
          </w:p>
        </w:tc>
        <w:tc>
          <w:tcPr>
            <w:tcW w:type="dxa" w:w="131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Ejecutado (sintético); reporte real planificado</w:t>
            </w:r>
          </w:p>
        </w:tc>
      </w:tr>
      <w:tr>
        <w:trPr>
          <w:cantSplit/>
        </w:trPr>
        <w:tc>
          <w:tcPr>
            <w:tcW w:type="dxa" w:w="7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P11.1</w:t>
            </w:r>
          </w:p>
        </w:tc>
        <w:tc>
          <w:tcPr>
            <w:tcW w:type="dxa" w:w="16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Pruebas técnicas internas (OE2)</w:t>
            </w:r>
          </w:p>
        </w:tc>
        <w:tc>
          <w:tcPr>
            <w:tcW w:type="dxa" w:w="57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Sin involucrar personas externas: rasa data validate (conflictos), validación cruzada del NLU agrupada por base_phrase_id (la nativa de Rasa se descarta por fuga de paráfrasis) y smoke test de las 54 intenciones con consultas nuevas; las pruebas unitarias de custom actions no aplican (no hay acciones personalizadas). Criterio de salida: 0 conflictos, F1 ≥ 0.75 y 54/54 intenciones sin error. Resultado: 0 conflictos; F1 macro 0.624–0.655; 44/54. Criterio no cumplido. Ver Sección 2.11.</w:t>
            </w:r>
          </w:p>
        </w:tc>
        <w:tc>
          <w:tcPr>
            <w:tcW w:type="dxa" w:w="131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Ejecutado (criterio no cumplido)</w:t>
            </w:r>
          </w:p>
        </w:tc>
      </w:tr>
      <w:tr>
        <w:trPr>
          <w:cantSplit/>
        </w:trPr>
        <w:tc>
          <w:tcPr>
            <w:tcW w:type="dxa" w:w="7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P11.2a</w:t>
            </w:r>
          </w:p>
        </w:tc>
        <w:tc>
          <w:tcPr>
            <w:tcW w:type="dxa" w:w="16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Recolección de lenguaje real y refinamiento (OE2–OE4)</w:t>
            </w:r>
          </w:p>
        </w:tc>
        <w:tc>
          <w:tcPr>
            <w:tcW w:type="dxa" w:w="5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Aplicar el lote 1 de frases reales (Sección 2.4.2), evaluar en la validación y el test reales y refinar el chatbot (umbral de confianza, ajustes de corpus y de respuestas). No tiene umbral de F1 de entrada. Ver Sección 2.12.</w:t>
            </w:r>
          </w:p>
        </w:tc>
        <w:tc>
          <w:tcPr>
            <w:tcW w:type="dxa" w:w="131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Planificado (formularios y catálogo listos)</w:t>
            </w:r>
          </w:p>
        </w:tc>
      </w:tr>
      <w:tr>
        <w:trPr>
          <w:cantSplit/>
        </w:trPr>
        <w:tc>
          <w:tcPr>
            <w:tcW w:type="dxa" w:w="7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P11.2b</w:t>
            </w:r>
          </w:p>
        </w:tc>
        <w:tc>
          <w:tcPr>
            <w:tcW w:type="dxa" w:w="16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Pre-piloto formal (OE2–OE4)</w:t>
            </w:r>
          </w:p>
        </w:tc>
        <w:tc>
          <w:tcPr>
            <w:tcW w:type="dxa" w:w="57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Probar el chatbot con 5–15 personas ajenas a la muestra final (guion de 15–20 consultas, 2–3 por categoría), aplicarles la encuesta de satisfacción y calcular el Alfa de Cronbach. Criterio de salida: F1 ≥ 0.75 sobre el conjunto real retenido y Alfa ≥ 0.70. Ver Sección 2.12.</w:t>
            </w:r>
          </w:p>
        </w:tc>
        <w:tc>
          <w:tcPr>
            <w:tcW w:type="dxa" w:w="131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Pendiente (depende de P11.2a)</w:t>
            </w:r>
          </w:p>
        </w:tc>
      </w:tr>
      <w:tr>
        <w:trPr>
          <w:cantSplit/>
        </w:trPr>
        <w:tc>
          <w:tcPr>
            <w:tcW w:type="dxa" w:w="7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P12</w:t>
            </w:r>
          </w:p>
        </w:tc>
        <w:tc>
          <w:tcPr>
            <w:tcW w:type="dxa" w:w="16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Despliegue piloto y medición de tiempos (OE3)</w:t>
            </w:r>
          </w:p>
        </w:tc>
        <w:tc>
          <w:tcPr>
            <w:tcW w:type="dxa" w:w="5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Una vez superado el pre-piloto formal (P11.2b) y con el modelo congelado, ejecutar las sesiones asistidas: en la misma visita en que la persona responde su línea base (P01), prueba el chatbot (asistente local o canal propio, sin integración con la MPSR) con 3 tarjetas de situación. El aplicador mide el tiempo hasta una respuesta útil (corte a los 180 s o a los 3 mensajes) y lo compara con la línea base recordada de la misma persona (medición pareada).</w:t>
            </w:r>
          </w:p>
        </w:tc>
        <w:tc>
          <w:tcPr>
            <w:tcW w:type="dxa" w:w="131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Planificado (sesión asistida, n = 60)</w:t>
            </w:r>
          </w:p>
        </w:tc>
      </w:tr>
      <w:tr>
        <w:trPr>
          <w:cantSplit/>
        </w:trPr>
        <w:tc>
          <w:tcPr>
            <w:tcW w:type="dxa" w:w="7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P13</w:t>
            </w:r>
          </w:p>
        </w:tc>
        <w:tc>
          <w:tcPr>
            <w:tcW w:type="dxa" w:w="16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Encuesta de satisfacción (OE4)</w:t>
            </w:r>
          </w:p>
        </w:tc>
        <w:tc>
          <w:tcPr>
            <w:tcW w:type="dxa" w:w="57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En la misma sesión, la persona responde la encuesta de satisfacción Likert de 5 puntos (9 ítems; el ítem 9 empareja con la satisfacción previa P10) y una pregunta complementaria con el tiempo presencial estimado para la consulta 1. Inclusión: sesión elegible y completa (trámite presencial en los últimos 12 meses); exclusión: participantes de P11.2b. n = 60 (piloto exploratorio).</w:t>
            </w:r>
          </w:p>
        </w:tc>
        <w:tc>
          <w:tcPr>
            <w:tcW w:type="dxa" w:w="131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Planificado (en la misma sesión)</w:t>
            </w:r>
          </w:p>
        </w:tc>
      </w:tr>
      <w:tr>
        <w:trPr>
          <w:cantSplit/>
        </w:trPr>
        <w:tc>
          <w:tcPr>
            <w:tcW w:type="dxa" w:w="7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P14</w:t>
            </w:r>
          </w:p>
        </w:tc>
        <w:tc>
          <w:tcPr>
            <w:tcW w:type="dxa" w:w="16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Análisis estadístico (OE3–OE4)</w:t>
            </w:r>
          </w:p>
        </w:tc>
        <w:tc>
          <w:tcPr>
            <w:tcW w:type="dxa" w:w="5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Verificar normalidad de las diferencias pre/post (mismos sujetos) con Shapiro-Wilk (α=0.05). Si se cumple, aplicar prueba t de Student pareada; si no, aplicar la alternativa no paramétrica Wilcoxon (rangos con signo). Formular H0/H1 y aplicar el criterio de decisión con α=0.05.</w:t>
            </w:r>
          </w:p>
        </w:tc>
        <w:tc>
          <w:tcPr>
            <w:tcW w:type="dxa" w:w="131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Simulado (demostración del pipeline)</w:t>
            </w:r>
          </w:p>
        </w:tc>
      </w:tr>
      <w:tr>
        <w:trPr>
          <w:cantSplit/>
        </w:trPr>
        <w:tc>
          <w:tcPr>
            <w:tcW w:type="dxa" w:w="7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P15</w:t>
            </w:r>
          </w:p>
        </w:tc>
        <w:tc>
          <w:tcPr>
            <w:tcW w:type="dxa" w:w="16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Reproducibilidad</w:t>
            </w:r>
          </w:p>
        </w:tc>
        <w:tc>
          <w:tcPr>
            <w:tcW w:type="dxa" w:w="57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Conservar código, configuraciones, semillas, particiones, modelos, predicciones, métricas, logs y un README con el orden de ejecución.</w:t>
            </w:r>
          </w:p>
        </w:tc>
        <w:tc>
          <w:tcPr>
            <w:tcW w:type="dxa" w:w="131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Ejecutado</w:t>
            </w:r>
          </w:p>
        </w:tc>
      </w:tr>
      <w:tr>
        <w:trPr>
          <w:cantSplit/>
        </w:trPr>
        <w:tc>
          <w:tcPr>
            <w:tcW w:type="dxa" w:w="7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P16</w:t>
            </w:r>
          </w:p>
        </w:tc>
        <w:tc>
          <w:tcPr>
            <w:tcW w:type="dxa" w:w="16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Registro de incidencias</w:t>
            </w:r>
          </w:p>
        </w:tc>
        <w:tc>
          <w:tcPr>
            <w:tcW w:type="dxa" w:w="5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Documentar fecha, experimento, incidencia, decisión adoptada y justificación de toda desviación del protocolo (p. ej. reetiquetado, falla de despliegue, ajuste de ítems tras el pre-piloto).</w:t>
            </w:r>
          </w:p>
        </w:tc>
        <w:tc>
          <w:tcPr>
            <w:tcW w:type="dxa" w:w="131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Ejecutado (41 registros en incident_log.csv)</w:t>
            </w:r>
          </w:p>
        </w:tc>
      </w:tr>
    </w:tbl>
    <w:p>
      <w:r>
        <w:br/>
        <w:t xml:space="preserve"/>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3.1 Regla fundamental de aislamiento del test</w:t>
      </w:r>
    </w:p>
    <w:p>
      <w:pPr>
        <w:spacing w:after="0" w:line="480" w:lineRule="auto"/>
        <w:ind w:firstLine="720"/>
        <w:jc w:val="left"/>
      </w:pPr>
      <w:r>
        <w:rPr>
          <w:rFonts w:ascii="Times New Roman" w:cs="Times New Roman" w:eastAsia="Times New Roman" w:hAnsi="Times New Roman"/>
          <w:color w:val="000000"/>
          <w:sz w:val="24"/>
          <w:szCs w:val="24"/>
        </w:rPr>
        <w:t xml:space="preserve">El conjunto de prueba no se utilizará para seleccionar características, ajustar hiperparámetros, elegir la arquitectura, decidir el número de épocas ni escoger el modelo final (OE2). De igual forma, el post-test de OE3/OE4 no se anticipa ni se contamina con decisiones tomadas durante el diagnóstico de OE1.</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3.2 Pregunta de control</w:t>
      </w:r>
    </w:p>
    <w:p>
      <w:pPr>
        <w:spacing w:after="0" w:line="480" w:lineRule="auto"/>
        <w:ind w:firstLine="720"/>
        <w:jc w:val="left"/>
      </w:pPr>
      <w:r>
        <w:rPr>
          <w:rFonts w:ascii="Times New Roman" w:cs="Times New Roman" w:eastAsia="Times New Roman" w:hAnsi="Times New Roman"/>
          <w:i/>
          <w:iCs/>
          <w:color w:val="000000"/>
          <w:sz w:val="24"/>
          <w:szCs w:val="24"/>
        </w:rPr>
        <w:t xml:space="preserve">Si se solicita demostrar de dónde salió un F1-Score reportado en la tesis, debe poder identificarse: el corpus y su versión, la partición, el código, la configuración, la semilla, las predicciones y el experimento (ID) que lo produjeron. Si la respuesta es sí, existe trazabilidad experimental.</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spacing w:after="240" w:before="240" w:line="480" w:lineRule="auto"/>
        <w:jc w:val="center"/>
      </w:pPr>
      <w:r>
        <w:rPr>
          <w:rFonts w:ascii="Times New Roman" w:cs="Times New Roman" w:eastAsia="Times New Roman" w:hAnsi="Times New Roman"/>
          <w:b/>
          <w:bCs/>
          <w:color w:val="000000"/>
          <w:sz w:val="24"/>
          <w:szCs w:val="24"/>
        </w:rPr>
        <w:t xml:space="preserve">4. Matriz de trazabilidad técnica</w:t>
      </w:r>
    </w:p>
    <w:p>
      <w:pPr>
        <w:spacing w:after="0" w:line="480" w:lineRule="auto"/>
        <w:ind w:firstLine="720"/>
        <w:jc w:val="left"/>
      </w:pPr>
      <w:r>
        <w:rPr>
          <w:rFonts w:ascii="Times New Roman" w:cs="Times New Roman" w:eastAsia="Times New Roman" w:hAnsi="Times New Roman"/>
          <w:i/>
          <w:iCs/>
          <w:color w:val="000000"/>
          <w:sz w:val="18"/>
          <w:szCs w:val="18"/>
        </w:rPr>
        <w:t xml:space="preserve">Lógica de trazabilidad: Objetivo → actividad → datos → procedimiento → configuración → evidencia → métrica → análisis → resultado. Ejemplo: OE3 → medir tiempo de respuesta con el chatbot → registros post-test (T09) → protocolo P12 → mismas categorías que la línea base → registros de tiempo → % de reducción → evidencia de mejora en la atención ciudadana.</w:t>
      </w:r>
    </w:p>
    <w:p>
      <w:pPr>
        <w:spacing w:after="0" w:line="480" w:lineRule="auto"/>
        <w:ind w:firstLine="720"/>
        <w:jc w:val="left"/>
      </w:pPr>
      <w:r>
        <w:rPr>
          <w:rFonts w:ascii="Times New Roman" w:cs="Times New Roman" w:eastAsia="Times New Roman" w:hAnsi="Times New Roman"/>
          <w:i/>
          <w:iCs/>
          <w:color w:val="000000"/>
          <w:sz w:val="18"/>
          <w:szCs w:val="18"/>
        </w:rPr>
        <w:t xml:space="preserve">La columna Estado indica si cada fila está ejecutada, simulada, planificada o pendiente (definiciones en la Sección 3). Las filas T03.1, T07.2a y T07.2b son nuevas en la V1.2; T01 y T08–T11 se modifican en la V1.3 (piloto en sesión asistida).</w:t>
      </w:r>
    </w:p>
    <w:tbl>
      <w:tblPr>
        <w:tblW w:type="dxa" w:w="14940"/>
        <w:tblBorders>
          <w:top w:val="single" w:color="auto" w:sz="4"/>
          <w:left w:val="single" w:color="auto" w:sz="4"/>
          <w:bottom w:val="single" w:color="auto" w:sz="4"/>
          <w:right w:val="single" w:color="auto" w:sz="4"/>
          <w:insideH w:val="single" w:color="auto" w:sz="4"/>
          <w:insideV w:val="single" w:color="auto" w:sz="4"/>
        </w:tblBorders>
      </w:tblPr>
      <w:tblGrid>
        <w:gridCol w:w="640"/>
        <w:gridCol w:w="1480"/>
        <w:gridCol w:w="1520"/>
        <w:gridCol w:w="1530"/>
        <w:gridCol w:w="1880"/>
        <w:gridCol w:w="1580"/>
        <w:gridCol w:w="1730"/>
        <w:gridCol w:w="1530"/>
        <w:gridCol w:w="1580"/>
        <w:gridCol w:w="1470"/>
      </w:tblGrid>
      <w:tr>
        <w:trPr>
          <w:tblHeader/>
        </w:trPr>
        <w:tc>
          <w:tcPr>
            <w:tcW w:type="dxa" w:w="64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ID</w:t>
            </w:r>
          </w:p>
        </w:tc>
        <w:tc>
          <w:tcPr>
            <w:tcW w:type="dxa" w:w="148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Objetivo específico</w:t>
            </w:r>
          </w:p>
        </w:tc>
        <w:tc>
          <w:tcPr>
            <w:tcW w:type="dxa" w:w="152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Actividad</w:t>
            </w:r>
          </w:p>
        </w:tc>
        <w:tc>
          <w:tcPr>
            <w:tcW w:type="dxa" w:w="153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Entrada / datos</w:t>
            </w:r>
          </w:p>
        </w:tc>
        <w:tc>
          <w:tcPr>
            <w:tcW w:type="dxa" w:w="188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Procedimiento</w:t>
            </w:r>
          </w:p>
        </w:tc>
        <w:tc>
          <w:tcPr>
            <w:tcW w:type="dxa" w:w="158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Configuración / control</w:t>
            </w:r>
          </w:p>
        </w:tc>
        <w:tc>
          <w:tcPr>
            <w:tcW w:type="dxa" w:w="173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Evidencia verificable</w:t>
            </w:r>
          </w:p>
        </w:tc>
        <w:tc>
          <w:tcPr>
            <w:tcW w:type="dxa" w:w="153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Métrica / criterio</w:t>
            </w:r>
          </w:p>
        </w:tc>
        <w:tc>
          <w:tcPr>
            <w:tcW w:type="dxa" w:w="158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Análisis / resultado esperado</w:t>
            </w:r>
          </w:p>
        </w:tc>
        <w:tc>
          <w:tcPr>
            <w:tcW w:type="dxa" w:w="147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Estado</w:t>
            </w:r>
          </w:p>
        </w:tc>
      </w:tr>
      <w:tr>
        <w:trPr>
          <w:cantSplit/>
        </w:trPr>
        <w:tc>
          <w:tcPr>
            <w:tcW w:type="dxa" w:w="64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T01</w:t>
            </w:r>
          </w:p>
        </w:tc>
        <w:tc>
          <w:tcPr>
            <w:tcW w:type="dxa" w:w="14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OE1. Diagnosticar la situación actual de los canales de atención.</w:t>
            </w:r>
          </w:p>
        </w:tc>
        <w:tc>
          <w:tcPr>
            <w:tcW w:type="dxa" w:w="152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Relevar, vía autoreporte, tiempos y limitaciones de la atención presencial (TramiFácil es uso interno).</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Parte 1 de la sesión asistida (mismo contenido que la Ficha P01); 60 sesiones elegibles reclutadas en estudios contables/jurídicos.</w:t>
            </w:r>
          </w:p>
        </w:tc>
        <w:tc>
          <w:tcPr>
            <w:tcW w:type="dxa" w:w="18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Medición retrospectiva de tiempos y cuellos de botella, en la misma visita en que se prueba el chatbot; sin WhatsApp ni seguimiento.</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Muestra por cuotas (9 categorías), n = 60 (piloto exploratorio; la V1.2 planificaba 120).</w:t>
            </w:r>
          </w:p>
        </w:tc>
        <w:tc>
          <w:tcPr>
            <w:tcW w:type="dxa" w:w="17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Registro de sesiones (Registro_Sesiones_Piloto) y hojas originales.</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Tiempo promedio reportado (línea base recordada).</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Línea base recordada de cada persona, comparada con su medición de T09 en la misma sesión.</w:t>
            </w:r>
          </w:p>
        </w:tc>
        <w:tc>
          <w:tcPr>
            <w:tcW w:type="dxa" w:w="147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Simulado; real planificado</w:t>
            </w:r>
          </w:p>
        </w:tc>
      </w:tr>
      <w:tr>
        <w:trPr>
          <w:cantSplit/>
        </w:trPr>
        <w:tc>
          <w:tcPr>
            <w:tcW w:type="dxa" w:w="64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T02</w:t>
            </w:r>
          </w:p>
        </w:tc>
        <w:tc>
          <w:tcPr>
            <w:tcW w:type="dxa" w:w="14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OE1</w:t>
            </w:r>
          </w:p>
        </w:tc>
        <w:tc>
          <w:tcPr>
            <w:tcW w:type="dxa" w:w="152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Evaluar capacidades y limitaciones de TramiFácil.</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Plataforma TramiFácil.</w:t>
            </w:r>
          </w:p>
        </w:tc>
        <w:tc>
          <w:tcPr>
            <w:tcW w:type="dxa" w:w="18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Análisis funcional: qué resuelve y qué no resuelve TramiFácil.</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Criterios de interactividad y cobertura de trámites.</w:t>
            </w:r>
          </w:p>
        </w:tc>
        <w:tc>
          <w:tcPr>
            <w:tcW w:type="dxa" w:w="17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Ficha de evaluación de TramiFácil.</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Nº de limitaciones documentadas.</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Justificación técnica de la necesidad del chatbot.</w:t>
            </w:r>
          </w:p>
        </w:tc>
        <w:tc>
          <w:tcPr>
            <w:tcW w:type="dxa" w:w="147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Planificado</w:t>
            </w:r>
          </w:p>
        </w:tc>
      </w:tr>
      <w:tr>
        <w:trPr>
          <w:cantSplit/>
        </w:trPr>
        <w:tc>
          <w:tcPr>
            <w:tcW w:type="dxa" w:w="64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T03</w:t>
            </w:r>
          </w:p>
        </w:tc>
        <w:tc>
          <w:tcPr>
            <w:tcW w:type="dxa" w:w="14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OE2. Construir el Corpus MPSR-Bot.</w:t>
            </w:r>
          </w:p>
        </w:tc>
        <w:tc>
          <w:tcPr>
            <w:tcW w:type="dxa" w:w="152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Registrar el corpus.</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Construcción manual y plantillas coloquiales (pendiente de contrastar con el TUPA oficial).</w:t>
            </w:r>
          </w:p>
        </w:tc>
        <w:tc>
          <w:tcPr>
            <w:tcW w:type="dxa" w:w="18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Crear inventario e identificadores de utterance.</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Fuente y versión registradas por intención/categoría.</w:t>
            </w:r>
          </w:p>
        </w:tc>
        <w:tc>
          <w:tcPr>
            <w:tcW w:type="dxa" w:w="17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corpus_metadata.csv (v3, 708 frases; la v2 en corpus/historico/)</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N.º utterances, intenciones (54) y categorías (9).</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Corpus identificado y documentado.</w:t>
            </w:r>
          </w:p>
        </w:tc>
        <w:tc>
          <w:tcPr>
            <w:tcW w:type="dxa" w:w="147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Ejecutado (sintético)</w:t>
            </w:r>
          </w:p>
        </w:tc>
      </w:tr>
      <w:tr>
        <w:trPr>
          <w:cantSplit/>
        </w:trPr>
        <w:tc>
          <w:tcPr>
            <w:tcW w:type="dxa" w:w="64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T03.1</w:t>
            </w:r>
          </w:p>
        </w:tc>
        <w:tc>
          <w:tcPr>
            <w:tcW w:type="dxa" w:w="14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OE2</w:t>
            </w:r>
          </w:p>
        </w:tc>
        <w:tc>
          <w:tcPr>
            <w:tcW w:type="dxa" w:w="152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Recolectar el lote 1 de frases reales.</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15–25 adultos de Juliaca; 56 situaciones en 5 formularios (A–E); consentimiento informado.</w:t>
            </w:r>
          </w:p>
        </w:tc>
        <w:tc>
          <w:tcPr>
            <w:tcW w:type="dxa" w:w="18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Cada participante escribe su frase para unas 11 situaciones; transcripción literal; revisión de la etiqueta frase por frase.</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Muestra de conveniencia; frases no usadas para entrenar; anonimato (sin nombres ni contacto).</w:t>
            </w:r>
          </w:p>
        </w:tc>
        <w:tc>
          <w:tcPr>
            <w:tcW w:type="dxa" w:w="17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Respuestas transcritas, seguimiento por participante (plantilla v3), hojas originales y revisión de etiquetas.</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 3 frases reales por intención; % de etiquetas modificadas en la revisión.</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Conjunto de lenguaje real para validación y test (V1.2).</w:t>
            </w:r>
          </w:p>
        </w:tc>
        <w:tc>
          <w:tcPr>
            <w:tcW w:type="dxa" w:w="147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Planificado (formularios y catálogo listos)</w:t>
            </w:r>
          </w:p>
        </w:tc>
      </w:tr>
      <w:tr>
        <w:trPr>
          <w:cantSplit/>
        </w:trPr>
        <w:tc>
          <w:tcPr>
            <w:tcW w:type="dxa" w:w="64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T04</w:t>
            </w:r>
          </w:p>
        </w:tc>
        <w:tc>
          <w:tcPr>
            <w:tcW w:type="dxa" w:w="14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OE2</w:t>
            </w:r>
          </w:p>
        </w:tc>
        <w:tc>
          <w:tcPr>
            <w:tcW w:type="dxa" w:w="152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Auditar calidad del corpus.</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Corpus registrado.</w:t>
            </w:r>
          </w:p>
        </w:tc>
        <w:tc>
          <w:tcPr>
            <w:tcW w:type="dxa" w:w="18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Detectar duplicados, ambigüedad y desbalance.</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Criterios de inclusión/exclusión definidos.</w:t>
            </w:r>
          </w:p>
        </w:tc>
        <w:tc>
          <w:tcPr>
            <w:tcW w:type="dxa" w:w="17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corpus_audit.csv + reporte</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Distribución e integridad por intención.</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Caracterización y calidad del corpus.</w:t>
            </w:r>
          </w:p>
        </w:tc>
        <w:tc>
          <w:tcPr>
            <w:tcW w:type="dxa" w:w="147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Ejecutado</w:t>
            </w:r>
          </w:p>
        </w:tc>
      </w:tr>
      <w:tr>
        <w:trPr>
          <w:cantSplit/>
        </w:trPr>
        <w:tc>
          <w:tcPr>
            <w:tcW w:type="dxa" w:w="64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T05</w:t>
            </w:r>
          </w:p>
        </w:tc>
        <w:tc>
          <w:tcPr>
            <w:tcW w:type="dxa" w:w="14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OE2</w:t>
            </w:r>
          </w:p>
        </w:tc>
        <w:tc>
          <w:tcPr>
            <w:tcW w:type="dxa" w:w="152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Controlar fuga por paráfrasis y particionar.</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Utterances y frase base.</w:t>
            </w:r>
          </w:p>
        </w:tc>
        <w:tc>
          <w:tcPr>
            <w:tcW w:type="dxa" w:w="18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Asignar base_phrase_id; separar train/val/test.</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Objetivo 70/15/15; V1.1 ejecutada (corpus v2): 486/81/81 = 75/12.5/12.5 (3 de 4 grupos a entrenamiento); el corpus v3 agrega 60 frases solo a entrenamiento; seed = 42; agrupado por frase base. V1.2: entrenamiento sintético; validación y test reales.</w:t>
            </w:r>
          </w:p>
        </w:tc>
        <w:tc>
          <w:tcPr>
            <w:tcW w:type="dxa" w:w="17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dataset_split.csv (vigente, sobre el corpus v3); la V1.1 en corpus/historico/dataset_split_v2_648.csv; corpus/v3_real/dataset_split_v3.csv (V1.2, planificado)</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Solapamiento entre particiones = 0. + 54/54 intenciones en cada partición (V1.2).</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Corpus sin fuga, partición reproducible.</w:t>
            </w:r>
          </w:p>
        </w:tc>
        <w:tc>
          <w:tcPr>
            <w:tcW w:type="dxa" w:w="147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V1.1 ejecutado; V1.2 planificado</w:t>
            </w:r>
          </w:p>
        </w:tc>
      </w:tr>
      <w:tr>
        <w:trPr>
          <w:cantSplit/>
        </w:trPr>
        <w:tc>
          <w:tcPr>
            <w:tcW w:type="dxa" w:w="64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T06</w:t>
            </w:r>
          </w:p>
        </w:tc>
        <w:tc>
          <w:tcPr>
            <w:tcW w:type="dxa" w:w="14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OE2</w:t>
            </w:r>
          </w:p>
        </w:tc>
        <w:tc>
          <w:tcPr>
            <w:tcW w:type="dxa" w:w="152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Implementar y comparar baseline (ML) vs. Rasa/DIET.</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Utterances preprocesadas.</w:t>
            </w:r>
          </w:p>
        </w:tc>
        <w:tc>
          <w:tcPr>
            <w:tcW w:type="dxa" w:w="18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Entrenar TF-IDF+SVM y Rasa NLU/DIET bajo las mismas condiciones.</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Hiperparámetros y semillas registrados; test aislado.</w:t>
            </w:r>
          </w:p>
        </w:tc>
        <w:tc>
          <w:tcPr>
            <w:tcW w:type="dxa" w:w="17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logs/BASE-*, logs/RASA-*, logs/stats_modelos.txt</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F1 macro (meta ≥ 0.85), Balanced Accuracy, Precision, Recall. Sintético (corpus v3): Rasa 0.624; SVM 0.648 (test).</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DIET no supera al baseline en el corpus sintético; se repite sobre el conjunto real con IC95 % y McNemar (V1.2).</w:t>
            </w:r>
          </w:p>
        </w:tc>
        <w:tc>
          <w:tcPr>
            <w:tcW w:type="dxa" w:w="147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Ejecutado (sintético); real planificado</w:t>
            </w:r>
          </w:p>
        </w:tc>
      </w:tr>
      <w:tr>
        <w:trPr>
          <w:cantSplit/>
        </w:trPr>
        <w:tc>
          <w:tcPr>
            <w:tcW w:type="dxa" w:w="64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T07</w:t>
            </w:r>
          </w:p>
        </w:tc>
        <w:tc>
          <w:tcPr>
            <w:tcW w:type="dxa" w:w="14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OE2</w:t>
            </w:r>
          </w:p>
        </w:tc>
        <w:tc>
          <w:tcPr>
            <w:tcW w:type="dxa" w:w="152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Construir la gestión del diálogo.</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Intenciones y entidades reconocidas + TUPA/información institucional.</w:t>
            </w:r>
          </w:p>
        </w:tc>
        <w:tc>
          <w:tcPr>
            <w:tcW w:type="dxa" w:w="18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Reglas intención → respuesta fija (sin custom actions, forms ni slots). V1.2: umbral de confianza (FallbackClassifier).</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Cobertura de las 9 categorías de intención.</w:t>
            </w:r>
          </w:p>
        </w:tc>
        <w:tc>
          <w:tcPr>
            <w:tcW w:type="dxa" w:w="17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domain.yml, rules.yml, evidencias/p09_domain/</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54/54 respuestas; 40 de 44 de trámites marcadas [Verificar].</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Arquitectura del chatbot implementada.</w:t>
            </w:r>
          </w:p>
        </w:tc>
        <w:tc>
          <w:tcPr>
            <w:tcW w:type="dxa" w:w="147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Respuestas ejecutadas; umbral planificado</w:t>
            </w:r>
          </w:p>
        </w:tc>
      </w:tr>
      <w:tr>
        <w:trPr>
          <w:cantSplit/>
        </w:trPr>
        <w:tc>
          <w:tcPr>
            <w:tcW w:type="dxa" w:w="64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T07.1</w:t>
            </w:r>
          </w:p>
        </w:tc>
        <w:tc>
          <w:tcPr>
            <w:tcW w:type="dxa" w:w="14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OE2</w:t>
            </w:r>
          </w:p>
        </w:tc>
        <w:tc>
          <w:tcPr>
            <w:tcW w:type="dxa" w:w="152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Ejecutar pruebas técnicas internas.</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Chatbot funcional (T07): NLU + gestión del diálogo.</w:t>
            </w:r>
          </w:p>
        </w:tc>
        <w:tc>
          <w:tcPr>
            <w:tcW w:type="dxa" w:w="18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rasa data validate; validación cruzada agrupada; smoke test de las 54 intenciones (las pruebas unitarias de actions no aplican).</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0 conflictos; F1 ≥ 0.75; 54/54 intenciones sin error.</w:t>
            </w:r>
          </w:p>
        </w:tc>
        <w:tc>
          <w:tcPr>
            <w:tcW w:type="dxa" w:w="17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evidencias/p11_1_pruebas/; REPORTE_REEVALUACION.md</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Conflictos, F1 (test y validación cruzada agrupada), intenciones correctas.</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Criterio no cumplido: 0 conflictos; F1 0.624–0.655; 44/54. No se avanza al pre-piloto.</w:t>
            </w:r>
          </w:p>
        </w:tc>
        <w:tc>
          <w:tcPr>
            <w:tcW w:type="dxa" w:w="147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Ejecutado (criterio no cumplido)</w:t>
            </w:r>
          </w:p>
        </w:tc>
      </w:tr>
      <w:tr>
        <w:trPr>
          <w:cantSplit/>
        </w:trPr>
        <w:tc>
          <w:tcPr>
            <w:tcW w:type="dxa" w:w="64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T07.2a</w:t>
            </w:r>
          </w:p>
        </w:tc>
        <w:tc>
          <w:tcPr>
            <w:tcW w:type="dxa" w:w="14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OE2-OE4</w:t>
            </w:r>
          </w:p>
        </w:tc>
        <w:tc>
          <w:tcPr>
            <w:tcW w:type="dxa" w:w="152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Refinar el chatbot con lenguaje real (P11.2a).</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Resultados de T03.1 y partición V1.2 de T05.</w:t>
            </w:r>
          </w:p>
        </w:tc>
        <w:tc>
          <w:tcPr>
            <w:tcW w:type="dxa" w:w="18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Evaluar en validación real; elegir el umbral de confianza; ajustar corpus y respuestas.</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Sin umbral de F1 de entrada; umbral elegido con criterio fijado de antemano (aciertos − 2 × errores).</w:t>
            </w:r>
          </w:p>
        </w:tc>
        <w:tc>
          <w:tcPr>
            <w:tcW w:type="dxa" w:w="17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Reporte de evaluación real; tabla de umbrales.</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F1 macro con IC95 %; cobertura y precisión del umbral.</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Chatbot refinado con evidencia sobre lenguaje real.</w:t>
            </w:r>
          </w:p>
        </w:tc>
        <w:tc>
          <w:tcPr>
            <w:tcW w:type="dxa" w:w="147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Planificado</w:t>
            </w:r>
          </w:p>
        </w:tc>
      </w:tr>
      <w:tr>
        <w:trPr>
          <w:cantSplit/>
        </w:trPr>
        <w:tc>
          <w:tcPr>
            <w:tcW w:type="dxa" w:w="64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T07.2b</w:t>
            </w:r>
          </w:p>
        </w:tc>
        <w:tc>
          <w:tcPr>
            <w:tcW w:type="dxa" w:w="14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OE2-OE4</w:t>
            </w:r>
          </w:p>
        </w:tc>
        <w:tc>
          <w:tcPr>
            <w:tcW w:type="dxa" w:w="152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Ejecutar el pre-piloto formal y validar el instrumento (P11.2b).</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Chatbot refinado (T07.2a) + encuesta de satisfacción.</w:t>
            </w:r>
          </w:p>
        </w:tc>
        <w:tc>
          <w:tcPr>
            <w:tcW w:type="dxa" w:w="18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Probar con 5–15 personas ajenas a la muestra final (guion de 15–20 consultas) y aplicarles la encuesta.</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F1 ≥ 0.75 sobre el conjunto real retenido; Alfa de Cronbach ≥ 0.70.</w:t>
            </w:r>
          </w:p>
        </w:tc>
        <w:tc>
          <w:tcPr>
            <w:tcW w:type="dxa" w:w="17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Resultados del guion + respuestas de la encuesta piloto.</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F1 sobre el conjunto real y Alfa de Cronbach del instrumento.</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Decisión de avanzar al piloto completo o corregir modelo/instrumento.</w:t>
            </w:r>
          </w:p>
        </w:tc>
        <w:tc>
          <w:tcPr>
            <w:tcW w:type="dxa" w:w="147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Pendiente (depende de T07.2a)</w:t>
            </w:r>
          </w:p>
        </w:tc>
      </w:tr>
      <w:tr>
        <w:trPr>
          <w:cantSplit/>
        </w:trPr>
        <w:tc>
          <w:tcPr>
            <w:tcW w:type="dxa" w:w="64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T08</w:t>
            </w:r>
          </w:p>
        </w:tc>
        <w:tc>
          <w:tcPr>
            <w:tcW w:type="dxa" w:w="14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OE3. Medir la reducción del tiempo de respuesta.</w:t>
            </w:r>
          </w:p>
        </w:tc>
        <w:tc>
          <w:tcPr>
            <w:tcW w:type="dxa" w:w="152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Preparar el asistente para las sesiones (asistente local o canal propio) con el modelo congelado.</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Chatbot funcional (OE2), validado en T07.1 y T07.2b.</w:t>
            </w:r>
          </w:p>
        </w:tc>
        <w:tc>
          <w:tcPr>
            <w:tcW w:type="dxa" w:w="18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Congelar el modelo (nombre, versión y fecha) y levantar el asistente en la laptop del aplicador.</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Modelo sin cambios durante las sesiones.</w:t>
            </w:r>
          </w:p>
        </w:tc>
        <w:tc>
          <w:tcPr>
            <w:tcW w:type="dxa" w:w="17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Registro del modelo congelado (hoja Parametros) y bitácora de incidencias técnicas.</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Disponibilidad del asistente durante las sesiones.</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Asistente operativo y estable para la medición.</w:t>
            </w:r>
          </w:p>
        </w:tc>
        <w:tc>
          <w:tcPr>
            <w:tcW w:type="dxa" w:w="147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Planificado</w:t>
            </w:r>
          </w:p>
        </w:tc>
      </w:tr>
      <w:tr>
        <w:trPr>
          <w:cantSplit/>
        </w:trPr>
        <w:tc>
          <w:tcPr>
            <w:tcW w:type="dxa" w:w="64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T09</w:t>
            </w:r>
          </w:p>
        </w:tc>
        <w:tc>
          <w:tcPr>
            <w:tcW w:type="dxa" w:w="14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OE3</w:t>
            </w:r>
          </w:p>
        </w:tc>
        <w:tc>
          <w:tcPr>
            <w:tcW w:type="dxa" w:w="152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Medir tiempo de respuesta con el chatbot.</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Consultas de las mismas personas de T01, hechas en la misma sesión con 3 tarjetas de situación.</w:t>
            </w:r>
          </w:p>
        </w:tc>
        <w:tc>
          <w:tcPr>
            <w:tcW w:type="dxa" w:w="18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Registrar el tiempo hasta una respuesta útil por consulta (cronómetro del aplicador; corte a los 180 s o a los 3 mensajes).</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Mismas categorías de trámite y mismos sujetos que T01.</w:t>
            </w:r>
          </w:p>
        </w:tc>
        <w:tc>
          <w:tcPr>
            <w:tcW w:type="dxa" w:w="17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Registros de tiempo (post, misma sesión), pareados con T01.</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Tiempo promedio de respuesta (post).</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Dato post-test pareado para la comparación.</w:t>
            </w:r>
          </w:p>
        </w:tc>
        <w:tc>
          <w:tcPr>
            <w:tcW w:type="dxa" w:w="147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Simulado; real planificado</w:t>
            </w:r>
          </w:p>
        </w:tc>
      </w:tr>
      <w:tr>
        <w:trPr>
          <w:cantSplit/>
        </w:trPr>
        <w:tc>
          <w:tcPr>
            <w:tcW w:type="dxa" w:w="64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T10</w:t>
            </w:r>
          </w:p>
        </w:tc>
        <w:tc>
          <w:tcPr>
            <w:tcW w:type="dxa" w:w="14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OE3</w:t>
            </w:r>
          </w:p>
        </w:tc>
        <w:tc>
          <w:tcPr>
            <w:tcW w:type="dxa" w:w="152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Comparar tiempos pre/post (mismo sujeto).</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Línea base (T01) + tiempos del chatbot (T09), mismos sujetos.</w:t>
            </w:r>
          </w:p>
        </w:tc>
        <w:tc>
          <w:tcPr>
            <w:tcW w:type="dxa" w:w="18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Calcular diferencia y porcentaje de reducción del tiempo de respuesta por sujeto.</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Comparación pareada; mismo criterio de medición en ambos momentos.</w:t>
            </w:r>
          </w:p>
        </w:tc>
        <w:tc>
          <w:tcPr>
            <w:tcW w:type="dxa" w:w="17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Tabla comparativa pre/post pareada.</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 de reducción de tiempo (meta ≥ 60 %).</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Evidencia cuantitativa de mejora en el tiempo de atención.</w:t>
            </w:r>
          </w:p>
        </w:tc>
        <w:tc>
          <w:tcPr>
            <w:tcW w:type="dxa" w:w="147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Simulado; real planificado</w:t>
            </w:r>
          </w:p>
        </w:tc>
      </w:tr>
      <w:tr>
        <w:trPr>
          <w:cantSplit/>
        </w:trPr>
        <w:tc>
          <w:tcPr>
            <w:tcW w:type="dxa" w:w="64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T11</w:t>
            </w:r>
          </w:p>
        </w:tc>
        <w:tc>
          <w:tcPr>
            <w:tcW w:type="dxa" w:w="14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OE4. Evaluar el nivel de satisfacción ciudadana.</w:t>
            </w:r>
          </w:p>
        </w:tc>
        <w:tc>
          <w:tcPr>
            <w:tcW w:type="dxa" w:w="152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Aplicar encuesta de usabilidad (post-test).</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Mismas personas de T01 que usaron el chatbot en la sesión (excluye participantes de T07.2b).</w:t>
            </w:r>
          </w:p>
        </w:tc>
        <w:tc>
          <w:tcPr>
            <w:tcW w:type="dxa" w:w="18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Encuesta con escala Likert de 5 puntos (9 ítems) en la misma sesión.</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n = 60 (piloto exploratorio); la V1.2 planificaba 120 (Vargas Ríos, 2022).</w:t>
            </w:r>
          </w:p>
        </w:tc>
        <w:tc>
          <w:tcPr>
            <w:tcW w:type="dxa" w:w="17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Base de datos de encuesta (Registro de sesiones), pareada con T01.</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Puntaje Likert promedio (meta ≥ 4.0/5.0).</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Nivel de satisfacción post documentado, comparable a la línea base de T01.</w:t>
            </w:r>
          </w:p>
        </w:tc>
        <w:tc>
          <w:tcPr>
            <w:tcW w:type="dxa" w:w="147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Simulado; real planificado</w:t>
            </w:r>
          </w:p>
        </w:tc>
      </w:tr>
      <w:tr>
        <w:trPr>
          <w:cantSplit/>
        </w:trPr>
        <w:tc>
          <w:tcPr>
            <w:tcW w:type="dxa" w:w="64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T12</w:t>
            </w:r>
          </w:p>
        </w:tc>
        <w:tc>
          <w:tcPr>
            <w:tcW w:type="dxa" w:w="14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OE4</w:t>
            </w:r>
          </w:p>
        </w:tc>
        <w:tc>
          <w:tcPr>
            <w:tcW w:type="dxa" w:w="152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Analizar errores y percepción negativa.</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Predicciones del chatbot + respuestas de la encuesta.</w:t>
            </w:r>
          </w:p>
        </w:tc>
        <w:tc>
          <w:tcPr>
            <w:tcW w:type="dxa" w:w="18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Identificar intenciones confundidas y comentarios críticos.</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Criterios uniformes de análisis.</w:t>
            </w:r>
          </w:p>
        </w:tc>
        <w:tc>
          <w:tcPr>
            <w:tcW w:type="dxa" w:w="17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Matrices de confusión + comentarios de encuesta.</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FP/FN por intención; ítems Likert bajos.</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Explicación de patrones de error e insatisfacción.</w:t>
            </w:r>
          </w:p>
        </w:tc>
        <w:tc>
          <w:tcPr>
            <w:tcW w:type="dxa" w:w="147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Parcial (sintético ejecutado; encuesta planificada)</w:t>
            </w:r>
          </w:p>
        </w:tc>
      </w:tr>
      <w:tr>
        <w:trPr>
          <w:cantSplit/>
        </w:trPr>
        <w:tc>
          <w:tcPr>
            <w:tcW w:type="dxa" w:w="64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T13</w:t>
            </w:r>
          </w:p>
        </w:tc>
        <w:tc>
          <w:tcPr>
            <w:tcW w:type="dxa" w:w="14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OE1-OE4</w:t>
            </w:r>
          </w:p>
        </w:tc>
        <w:tc>
          <w:tcPr>
            <w:tcW w:type="dxa" w:w="152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Contrastar la hipótesis estadísticamente.</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Datos pre/post de tiempo (T01, T10) y satisfacción (T11) — mismos sujetos.</w:t>
            </w:r>
          </w:p>
        </w:tc>
        <w:tc>
          <w:tcPr>
            <w:tcW w:type="dxa" w:w="18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Verificar normalidad de las diferencias (Shapiro-Wilk) y aplicar prueba t de Student pareada o, en su defecto, Wilcoxon.</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α = 0.05; H0/H1 formales.</w:t>
            </w:r>
          </w:p>
        </w:tc>
        <w:tc>
          <w:tcPr>
            <w:tcW w:type="dxa" w:w="17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Script + tabla estadística.</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p-value y decisión sobre H0.</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Evidencia cuantitativa del efecto del chatbot en la atención ciudadana (mismo sujeto, antes/después).</w:t>
            </w:r>
          </w:p>
        </w:tc>
        <w:tc>
          <w:tcPr>
            <w:tcW w:type="dxa" w:w="147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Simulado; real planificado</w:t>
            </w:r>
          </w:p>
        </w:tc>
      </w:tr>
      <w:tr>
        <w:trPr>
          <w:cantSplit/>
        </w:trPr>
        <w:tc>
          <w:tcPr>
            <w:tcW w:type="dxa" w:w="64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T14</w:t>
            </w:r>
          </w:p>
        </w:tc>
        <w:tc>
          <w:tcPr>
            <w:tcW w:type="dxa" w:w="14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OE1-OE4</w:t>
            </w:r>
          </w:p>
        </w:tc>
        <w:tc>
          <w:tcPr>
            <w:tcW w:type="dxa" w:w="152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Garantizar reproducibilidad.</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Todos los experimentos.</w:t>
            </w:r>
          </w:p>
        </w:tc>
        <w:tc>
          <w:tcPr>
            <w:tcW w:type="dxa" w:w="18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Integrar código, configuraciones, seeds, logs y resultados.</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Versionado del protocolo y del software.</w:t>
            </w:r>
          </w:p>
        </w:tc>
        <w:tc>
          <w:tcPr>
            <w:tcW w:type="dxa" w:w="17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Repositorio + README.md</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Experimento reproducible y rastreable.</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Trazabilidad completa objetivo→resultado.</w:t>
            </w:r>
          </w:p>
        </w:tc>
        <w:tc>
          <w:tcPr>
            <w:tcW w:type="dxa" w:w="147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Ejecutado</w:t>
            </w:r>
          </w:p>
        </w:tc>
      </w:tr>
      <w:tr>
        <w:trPr>
          <w:cantSplit/>
        </w:trPr>
        <w:tc>
          <w:tcPr>
            <w:tcW w:type="dxa" w:w="64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T15</w:t>
            </w:r>
          </w:p>
        </w:tc>
        <w:tc>
          <w:tcPr>
            <w:tcW w:type="dxa" w:w="14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OE1-OE4</w:t>
            </w:r>
          </w:p>
        </w:tc>
        <w:tc>
          <w:tcPr>
            <w:tcW w:type="dxa" w:w="152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Registrar incidencias y desviaciones del protocolo.</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Cualquier desviación durante P01–P14 (falla de despliegue, reetiquetado, corte de energía, ajuste de ítems tras T07.2b, etc.).</w:t>
            </w:r>
          </w:p>
        </w:tc>
        <w:tc>
          <w:tcPr>
            <w:tcW w:type="dxa" w:w="18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Documentar fecha, experimento, incidencia, decisión y justificación.</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Ninguna incidencia se resuelve u omite silenciosamente.</w:t>
            </w:r>
          </w:p>
        </w:tc>
        <w:tc>
          <w:tcPr>
            <w:tcW w:type="dxa" w:w="17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Bitácora de incidencias (incident_log.csv).</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N.º de incidencias registradas y resueltas.</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Historial de desviaciones justificado y auditable.</w:t>
            </w:r>
          </w:p>
        </w:tc>
        <w:tc>
          <w:tcPr>
            <w:tcW w:type="dxa" w:w="147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Ejecutado (41 registros en incident_log.csv)</w:t>
            </w:r>
          </w:p>
        </w:tc>
      </w:tr>
    </w:tbl>
    <w:p>
      <w:r>
        <w:br/>
        <w:t xml:space="preserve"/>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4.1 Cómo interpretar la matriz</w:t>
      </w:r>
    </w:p>
    <w:p>
      <w:pPr>
        <w:spacing w:after="0" w:line="480" w:lineRule="auto"/>
        <w:ind w:firstLine="720"/>
        <w:jc w:val="left"/>
      </w:pPr>
      <w:r>
        <w:rPr>
          <w:rFonts w:ascii="Times New Roman" w:cs="Times New Roman" w:eastAsia="Times New Roman" w:hAnsi="Times New Roman"/>
          <w:color w:val="000000"/>
          <w:sz w:val="18"/>
          <w:szCs w:val="18"/>
        </w:rPr>
        <w:t xml:space="preserve">Si en la tesis se reporta un F1-Score, un porcentaje de reducción de tiempo o un valor de satisfacción, debe poder identificarse: el objetivo específico (OE1–OE4) al que corresponde, el corpus o registro de origen, la partición o muestra, el código o instrumento, la configuración, la semilla (cuando aplique), las predicciones/registros y el ID de experimento de esta matriz que lo produjo.</w:t>
      </w:r>
    </w:p>
    <w:p>
      <w:pPr>
        <w:sectPr>
          <w:headerReference w:type="default" r:id="rId9"/>
          <w:footerReference w:type="default" r:id="rId10"/>
          <w:pgSz w:w="15840" w:h="12240" w:orient="landscape"/>
          <w:pgMar w:top="700" w:right="400" w:bottom="700" w:left="400" w:header="708" w:footer="708" w:gutter="0"/>
          <w:pgNumType/>
          <w:docGrid w:linePitch="360"/>
        </w:sectPr>
      </w:pPr>
    </w:p>
    <w:p>
      <w:pPr>
        <w:pStyle w:val="Heading1"/>
        <w:spacing w:after="240" w:before="240" w:line="480" w:lineRule="auto"/>
        <w:jc w:val="center"/>
      </w:pPr>
      <w:r>
        <w:rPr>
          <w:rFonts w:ascii="Times New Roman" w:cs="Times New Roman" w:eastAsia="Times New Roman" w:hAnsi="Times New Roman"/>
          <w:b/>
          <w:bCs/>
          <w:color w:val="000000"/>
          <w:sz w:val="24"/>
          <w:szCs w:val="24"/>
        </w:rPr>
        <w:t xml:space="preserve">5. Registro de modificaciones y control de versiones</w:t>
      </w:r>
    </w:p>
    <w:p>
      <w:pPr>
        <w:spacing w:after="0" w:line="480" w:lineRule="auto"/>
        <w:ind w:firstLine="720"/>
        <w:jc w:val="left"/>
      </w:pPr>
      <w:r>
        <w:rPr>
          <w:rFonts w:ascii="Times New Roman" w:cs="Times New Roman" w:eastAsia="Times New Roman" w:hAnsi="Times New Roman"/>
          <w:color w:val="000000"/>
          <w:sz w:val="24"/>
          <w:szCs w:val="24"/>
        </w:rPr>
        <w:t xml:space="preserve">Esta sección documenta, conforme al criterio de la docente, los errores encontrados, las medidas tomadas y su estado. La presentación del trabajo corresponde a la matriz de la Sección 4 con las modificaciones aquí registradas.</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5.1 Control de versiones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200"/>
        <w:gridCol w:w="3060"/>
      </w:tblGrid>
      <w:tr>
        <w:trPr>
          <w:tblHeader/>
        </w:trPr>
        <w:tc>
          <w:tcPr>
            <w:tcW w:type="dxa" w:w="11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Versión</w:t>
            </w:r>
          </w:p>
        </w:tc>
        <w:tc>
          <w:tcPr>
            <w:tcW w:type="dxa" w:w="52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Cambio principal</w:t>
            </w:r>
          </w:p>
        </w:tc>
        <w:tc>
          <w:tcPr>
            <w:tcW w:type="dxa" w:w="306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Motivo</w:t>
            </w:r>
          </w:p>
        </w:tc>
      </w:tr>
      <w:tr>
        <w:trPr>
          <w:cantSplit/>
        </w:trPr>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V1.0</w:t>
            </w:r>
          </w:p>
        </w:tc>
        <w:tc>
          <w:tcPr>
            <w:tcW w:type="dxa" w:w="52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Protocolo inicial: planteamiento, metodología, protocolo y matriz adaptados del modelo de la docente.</w:t>
            </w:r>
          </w:p>
        </w:tc>
        <w:tc>
          <w:tcPr>
            <w:tcW w:type="dxa" w:w="30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Entrega inicial de Tesis II.</w:t>
            </w:r>
          </w:p>
        </w:tc>
      </w:tr>
      <w:tr>
        <w:trPr>
          <w:cantSplit/>
        </w:trPr>
        <w:tc>
          <w:tcPr>
            <w:tcW w:type="dxa" w:w="11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V1.1</w:t>
            </w:r>
          </w:p>
        </w:tc>
        <w:tc>
          <w:tcPr>
            <w:tcW w:type="dxa" w:w="52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Correcciones de la revisión por pares (Ficha 1): hiperparámetros fijados, muestreo y tamaño de muestra, verificación de normalidad, fila T15 y pasos P11.1 y P11.2.</w:t>
            </w:r>
          </w:p>
        </w:tc>
        <w:tc>
          <w:tcPr>
            <w:tcW w:type="dxa" w:w="306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Observaciones de la Ficha 1, respondidas en la Ficha 2.</w:t>
            </w:r>
          </w:p>
        </w:tc>
      </w:tr>
      <w:tr>
        <w:trPr>
          <w:cantSplit/>
        </w:trPr>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V1.2 (3 oct. 2026)</w:t>
            </w:r>
          </w:p>
        </w:tc>
        <w:tc>
          <w:tcPr>
            <w:tcW w:type="dxa" w:w="52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Lote 1 de frases reales, partición V1.2, umbral de confianza, P11.2 en dos etapas, columna de estado en protocolo y matriz, y correcciones de consistencia (54 intenciones; TramiFácil de uso interno).</w:t>
            </w:r>
          </w:p>
        </w:tc>
        <w:tc>
          <w:tcPr>
            <w:tcW w:type="dxa" w:w="30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Criterio de salida de P11.1 no cumplido, defecto de partición y corpus sintético.</w:t>
            </w:r>
          </w:p>
        </w:tc>
      </w:tr>
      <w:tr>
        <w:trPr>
          <w:cantSplit/>
        </w:trPr>
        <w:tc>
          <w:tcPr>
            <w:tcW w:type="dxa" w:w="11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V1.3 (3 oct. 2026)</w:t>
            </w:r>
          </w:p>
        </w:tc>
        <w:tc>
          <w:tcPr>
            <w:tcW w:type="dxa" w:w="52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Piloto exploratorio de 60 personas en una sola sesión asistida (línea base recordada, prueba del asistente con 3 tarjetas y encuesta de 9 ítems); formulario de sesión y registro de sesiones; modelo congelado antes de las sesiones.</w:t>
            </w:r>
          </w:p>
        </w:tc>
        <w:tc>
          <w:tcPr>
            <w:tcW w:type="dxa" w:w="306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Plazo del curso menor a 2 semanas y objetivo de mostrar viabilidad; evita el recontacto y el abandono.</w:t>
            </w:r>
          </w:p>
        </w:tc>
      </w:tr>
    </w:tbl>
    <w:p>
      <w:r>
        <w:br/>
        <w:t xml:space="preserve"/>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5.2 Errores detectados y causas</w:t>
      </w:r>
    </w:p>
    <w:p>
      <w:pPr>
        <w:spacing w:after="0" w:line="480" w:lineRule="auto"/>
        <w:ind w:left="720" w:hanging="360"/>
        <w:jc w:val="left"/>
      </w:pPr>
      <w:r>
        <w:rPr>
          <w:rFonts w:ascii="Times New Roman" w:cs="Times New Roman" w:eastAsia="Times New Roman" w:hAnsi="Times New Roman"/>
          <w:color w:val="000000"/>
          <w:sz w:val="24"/>
          <w:szCs w:val="24"/>
        </w:rPr>
        <w:t xml:space="preserve">• Corpus sintético. Ampliarlo con frases sintéticas nuevas no mejoró la generalización (4 aciertos ganados y 7 perdidos en el smoke test: diferencia compatible con ruido, McNemar p ≈ 0.55) y generó rebote entre intenciones vecinas (horario_mesa_partes absorbió predicciones de requisitos_mesa_partes: exactitud 0.87 → 0.53).</w:t>
      </w:r>
    </w:p>
    <w:p>
      <w:pPr>
        <w:spacing w:after="0" w:line="480" w:lineRule="auto"/>
        <w:ind w:left="720" w:hanging="360"/>
        <w:jc w:val="left"/>
      </w:pPr>
      <w:r>
        <w:rPr>
          <w:rFonts w:ascii="Times New Roman" w:cs="Times New Roman" w:eastAsia="Times New Roman" w:hAnsi="Times New Roman"/>
          <w:color w:val="000000"/>
          <w:sz w:val="24"/>
          <w:szCs w:val="24"/>
        </w:rPr>
        <w:t xml:space="preserve">• Defecto de partición (P05). Cada intención tiene un solo grupo retenido, asignado alternadamente a validación o a test. El test mide 27 de las 54 intenciones (3 frases cada una) y la validación las otras 27: sus F1 no son comparables y la grilla se seleccionó con la mitad de las intenciones.</w:t>
      </w:r>
    </w:p>
    <w:p>
      <w:pPr>
        <w:spacing w:after="0" w:line="480" w:lineRule="auto"/>
        <w:ind w:left="720" w:hanging="360"/>
        <w:jc w:val="left"/>
      </w:pPr>
      <w:r>
        <w:rPr>
          <w:rFonts w:ascii="Times New Roman" w:cs="Times New Roman" w:eastAsia="Times New Roman" w:hAnsi="Times New Roman"/>
          <w:color w:val="000000"/>
          <w:sz w:val="24"/>
          <w:szCs w:val="24"/>
        </w:rPr>
        <w:t xml:space="preserve">• Muestras pequeñas y sin ventaja de DIET. Con 3 frases por intención el F1 macro es muy variable; Rasa/DIET y TF-IDF + SVM resultan indistinguibles en este corpus.</w:t>
      </w:r>
    </w:p>
    <w:p>
      <w:pPr>
        <w:spacing w:after="0" w:line="480" w:lineRule="auto"/>
        <w:ind w:left="720" w:hanging="360"/>
        <w:jc w:val="left"/>
      </w:pPr>
      <w:r>
        <w:rPr>
          <w:rFonts w:ascii="Times New Roman" w:cs="Times New Roman" w:eastAsia="Times New Roman" w:hAnsi="Times New Roman"/>
          <w:color w:val="000000"/>
          <w:sz w:val="24"/>
          <w:szCs w:val="24"/>
        </w:rPr>
        <w:t xml:space="preserve">• Caso crítico corregido. Una consulta de licencia (“abrir un restaurante”) se clasificó como fuera_de_alcance con 0.81 de confianza: esa palabra aparecía una sola vez en el entrenamiento, dentro de un ejemplo de fuera_de_alcance.</w:t>
      </w:r>
    </w:p>
    <w:p>
      <w:r>
        <w:br/>
        <w:t xml:space="preserve"/>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5.3 Medidas ya ejecutadas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00"/>
        <w:gridCol w:w="2460"/>
      </w:tblGrid>
      <w:tr>
        <w:trPr>
          <w:tblHeader/>
        </w:trPr>
        <w:tc>
          <w:tcPr>
            <w:tcW w:type="dxa" w:w="36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Medida ejecutada</w:t>
            </w:r>
          </w:p>
        </w:tc>
        <w:tc>
          <w:tcPr>
            <w:tcW w:type="dxa" w:w="33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Resultado</w:t>
            </w:r>
          </w:p>
        </w:tc>
        <w:tc>
          <w:tcPr>
            <w:tcW w:type="dxa" w:w="246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Evidencia</w:t>
            </w:r>
          </w:p>
        </w:tc>
      </w:tr>
      <w:tr>
        <w:trPr>
          <w:cantSplit/>
        </w:trPr>
        <w:tc>
          <w:tcPr>
            <w:tcW w:type="dxa" w:w="36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Validación cruzada agrupada por base_phrase_id (StratifiedGroupKFold) en lugar de la nativa de Rasa</w:t>
            </w:r>
          </w:p>
        </w:tc>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Nativa 0.778 (inflada por fuga) frente a 0.655 (Rasa) y 0.637 (SVM) agrupada</w:t>
            </w:r>
          </w:p>
        </w:tc>
        <w:tc>
          <w:tcPr>
            <w:tcW w:type="dxa" w:w="24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evidencias/p11_1_pruebas/</w:t>
            </w:r>
          </w:p>
        </w:tc>
      </w:tr>
      <w:tr>
        <w:trPr>
          <w:cantSplit/>
        </w:trPr>
        <w:tc>
          <w:tcPr>
            <w:tcW w:type="dxa" w:w="36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Ampliación del corpus (60 frases, 20 grupos, 9 intenciones) y corrección de la causa del falso fuera_de_alcance</w:t>
            </w:r>
          </w:p>
        </w:tc>
        <w:tc>
          <w:tcPr>
            <w:tcW w:type="dxa" w:w="33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Corrigió las 8 fallas; sin mejora global (F1 test 0.633 (corpus v2) → 0.624 (corpus v3))</w:t>
            </w:r>
          </w:p>
        </w:tc>
        <w:tc>
          <w:tcPr>
            <w:tcW w:type="dxa" w:w="246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REPORTE_REEVALUACION.md; logs/v2_corpus648/</w:t>
            </w:r>
          </w:p>
        </w:tc>
      </w:tr>
      <w:tr>
        <w:trPr>
          <w:cantSplit/>
        </w:trPr>
        <w:tc>
          <w:tcPr>
            <w:tcW w:type="dxa" w:w="36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Respuestas del domain.yml completas (P09) y marcadas con [Verificar] las no contrastadas con el TUPA real</w:t>
            </w:r>
          </w:p>
        </w:tc>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54/54 respuestas; 40 de 44 de trámites marcadas; rasa data validate sin conflictos</w:t>
            </w:r>
          </w:p>
        </w:tc>
        <w:tc>
          <w:tcPr>
            <w:tcW w:type="dxa" w:w="24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evidencias/p09_domain/</w:t>
            </w:r>
          </w:p>
        </w:tc>
      </w:tr>
      <w:tr>
        <w:trPr>
          <w:cantSplit/>
        </w:trPr>
        <w:tc>
          <w:tcPr>
            <w:tcW w:type="dxa" w:w="36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Preparación de la Parte B: scripts de ingesta, partición V1.2, evaluación real, umbral de confianza y conciliación con el seguimiento</w:t>
            </w:r>
          </w:p>
        </w:tc>
        <w:tc>
          <w:tcPr>
            <w:tcW w:type="dxa" w:w="33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Pruebas de humo con datos falsos (simuladas): 59/59 y 22/22; el flujo real espera el lote 1</w:t>
            </w:r>
          </w:p>
        </w:tc>
        <w:tc>
          <w:tcPr>
            <w:tcW w:type="dxa" w:w="246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evidencias/v3_real/</w:t>
            </w:r>
          </w:p>
        </w:tc>
      </w:tr>
      <w:tr>
        <w:trPr>
          <w:cantSplit/>
        </w:trPr>
        <w:tc>
          <w:tcPr>
            <w:tcW w:type="dxa" w:w="36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Verificación de cifras y referencias del protocolo V1.2 y de la nota contra el repositorio</w:t>
            </w:r>
          </w:p>
        </w:tc>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37 afirmaciones recalculadas: 30 coincidían y 5 diferían (corregidas en esta versión)</w:t>
            </w:r>
          </w:p>
        </w:tc>
        <w:tc>
          <w:tcPr>
            <w:tcW w:type="dxa" w:w="24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evidencias/v3_real/verificacion_referencias.md; docs/ERRATAS_protocolo_V1.2.md</w:t>
            </w:r>
          </w:p>
        </w:tc>
      </w:tr>
      <w:tr>
        <w:trPr>
          <w:cantSplit/>
        </w:trPr>
        <w:tc>
          <w:tcPr>
            <w:tcW w:type="dxa" w:w="36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Materiales del piloto exploratorio: formulario de sesión asistida (guía, paquete por persona y 56 tarjetas) y registro de sesiones con fórmulas</w:t>
            </w:r>
          </w:p>
        </w:tc>
        <w:tc>
          <w:tcPr>
            <w:tcW w:type="dxa" w:w="33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Fórmulas del registro verificadas con datos de prueba (simulados): 16 resultados coinciden con un cálculo independiente</w:t>
            </w:r>
          </w:p>
        </w:tc>
        <w:tc>
          <w:tcPr>
            <w:tcW w:type="dxa" w:w="246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docs/piloto/</w:t>
            </w:r>
          </w:p>
        </w:tc>
      </w:tr>
    </w:tbl>
    <w:p>
      <w:r>
        <w:br/>
        <w:t xml:space="preserve"/>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5.4 Modificaciones al protocolo y a la matriz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700"/>
        <w:gridCol w:w="2850"/>
        <w:gridCol w:w="1460"/>
      </w:tblGrid>
      <w:tr>
        <w:trPr>
          <w:tblHeader/>
        </w:trPr>
        <w:tc>
          <w:tcPr>
            <w:tcW w:type="dxa" w:w="135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Paso / fila</w:t>
            </w:r>
          </w:p>
        </w:tc>
        <w:tc>
          <w:tcPr>
            <w:tcW w:type="dxa" w:w="37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Modificación (V1.1 → V1.2)</w:t>
            </w:r>
          </w:p>
        </w:tc>
        <w:tc>
          <w:tcPr>
            <w:tcW w:type="dxa" w:w="285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Justificación</w:t>
            </w:r>
          </w:p>
        </w:tc>
        <w:tc>
          <w:tcPr>
            <w:tcW w:type="dxa" w:w="146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Estado</w:t>
            </w:r>
          </w:p>
        </w:tc>
      </w:tr>
      <w:tr>
        <w:trPr>
          <w:cantSplit/>
        </w:trPr>
        <w:tc>
          <w:tcPr>
            <w:tcW w:type="dxa" w:w="13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P02 / T03.1</w:t>
            </w:r>
          </w:p>
        </w:tc>
        <w:tc>
          <w:tcPr>
            <w:tcW w:type="dxa" w:w="3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Lote 1 de frases reales: 15 a 25 adultos de Juliaca, unas 11 situaciones sin palabras clave; anónimo, con consentimiento; muestra de conveniencia.</w:t>
            </w:r>
          </w:p>
        </w:tc>
        <w:tc>
          <w:tcPr>
            <w:tcW w:type="dxa" w:w="28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El corpus sintético no representa el habla real.</w:t>
            </w:r>
          </w:p>
        </w:tc>
        <w:tc>
          <w:tcPr>
            <w:tcW w:type="dxa" w:w="146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8"/>
                <w:szCs w:val="18"/>
              </w:rPr>
              <w:t xml:space="preserve">Planificado</w:t>
            </w:r>
          </w:p>
        </w:tc>
      </w:tr>
      <w:tr>
        <w:trPr>
          <w:cantSplit/>
        </w:trPr>
        <w:tc>
          <w:tcPr>
            <w:tcW w:type="dxa" w:w="13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P05 / T05</w:t>
            </w:r>
          </w:p>
        </w:tc>
        <w:tc>
          <w:tcPr>
            <w:tcW w:type="dxa" w:w="37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Entrenamiento = frases sintéticas; validación y test = frases reales, con las 54 intenciones en las tres particiones.</w:t>
            </w:r>
          </w:p>
        </w:tc>
        <w:tc>
          <w:tcPr>
            <w:tcW w:type="dxa" w:w="28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Corrige la cobertura (27 de 54 intenciones en test) y mide la generalización real.</w:t>
            </w:r>
          </w:p>
        </w:tc>
        <w:tc>
          <w:tcPr>
            <w:tcW w:type="dxa" w:w="146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8"/>
                <w:szCs w:val="18"/>
              </w:rPr>
              <w:t xml:space="preserve">Planificado</w:t>
            </w:r>
          </w:p>
        </w:tc>
      </w:tr>
      <w:tr>
        <w:trPr>
          <w:cantSplit/>
        </w:trPr>
        <w:tc>
          <w:tcPr>
            <w:tcW w:type="dxa" w:w="13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P09 / T07</w:t>
            </w:r>
          </w:p>
        </w:tc>
        <w:tc>
          <w:tcPr>
            <w:tcW w:type="dxa" w:w="3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Umbral de confianza (FallbackClassifier) elegido en la validación real con criterio fijado de antemano: aciertos − 2 × errores con respuesta.</w:t>
            </w:r>
          </w:p>
        </w:tc>
        <w:tc>
          <w:tcPr>
            <w:tcW w:type="dxa" w:w="28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Evita respuestas erróneas con alta confianza.</w:t>
            </w:r>
          </w:p>
        </w:tc>
        <w:tc>
          <w:tcPr>
            <w:tcW w:type="dxa" w:w="146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8"/>
                <w:szCs w:val="18"/>
              </w:rPr>
              <w:t xml:space="preserve">Planificado</w:t>
            </w:r>
          </w:p>
        </w:tc>
      </w:tr>
      <w:tr>
        <w:trPr>
          <w:cantSplit/>
        </w:trPr>
        <w:tc>
          <w:tcPr>
            <w:tcW w:type="dxa" w:w="13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P11.2 / T07.2a–b</w:t>
            </w:r>
          </w:p>
        </w:tc>
        <w:tc>
          <w:tcPr>
            <w:tcW w:type="dxa" w:w="37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Dividir en (a) lenguaje real y refinamiento, sin umbral de F1, y (b) pre-piloto formal con Alfa ≥ 0.70 y F1 ≥ 0.75 sobre el conjunto real retenido.</w:t>
            </w:r>
          </w:p>
        </w:tc>
        <w:tc>
          <w:tcPr>
            <w:tcW w:type="dxa" w:w="28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Exigir F1 ≥ 0.75 para entrar era circular; el Alfa no depende del NLU. Decidido antes de observar resultados del pre-piloto.</w:t>
            </w:r>
          </w:p>
        </w:tc>
        <w:tc>
          <w:tcPr>
            <w:tcW w:type="dxa" w:w="146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8"/>
                <w:szCs w:val="18"/>
              </w:rPr>
              <w:t xml:space="preserve">Adoptado</w:t>
            </w:r>
          </w:p>
        </w:tc>
      </w:tr>
      <w:tr>
        <w:trPr>
          <w:cantSplit/>
        </w:trPr>
        <w:tc>
          <w:tcPr>
            <w:tcW w:type="dxa" w:w="13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P11 / T06</w:t>
            </w:r>
          </w:p>
        </w:tc>
        <w:tc>
          <w:tcPr>
            <w:tcW w:type="dxa" w:w="3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Comparar DIET y SVM con IC95 % bootstrap y McNemar sobre el conjunto real.</w:t>
            </w:r>
          </w:p>
        </w:tc>
        <w:tc>
          <w:tcPr>
            <w:tcW w:type="dxa" w:w="28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Evitar sobreinterpretar diferencias pequeñas.</w:t>
            </w:r>
          </w:p>
        </w:tc>
        <w:tc>
          <w:tcPr>
            <w:tcW w:type="dxa" w:w="146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8"/>
                <w:szCs w:val="18"/>
              </w:rPr>
              <w:t xml:space="preserve">Parcial</w:t>
            </w:r>
          </w:p>
        </w:tc>
      </w:tr>
      <w:tr>
        <w:trPr>
          <w:cantSplit/>
        </w:trPr>
        <w:tc>
          <w:tcPr>
            <w:tcW w:type="dxa" w:w="13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P01, P12–P13 / T01, T08–T11</w:t>
            </w:r>
          </w:p>
        </w:tc>
        <w:tc>
          <w:tcPr>
            <w:tcW w:type="dxa" w:w="37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Piloto exploratorio de 60 personas en una sola sesión asistida: línea base recordada, prueba del asistente con 3 tarjetas (tiempo medido por el aplicador) y encuesta de 9 ítems en la misma visita. Reemplaza el diseño de dos visitas con 120 personas y WhatsApp. Compuerta declarada: si en la fecha de corte el F1 real es menor que 0.75, el piloto se presenta como planificado.</w:t>
            </w:r>
          </w:p>
        </w:tc>
        <w:tc>
          <w:tcPr>
            <w:tcW w:type="dxa" w:w="28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Plazo menor a 2 semanas y objetivo de mostrar viabilidad; evita el seguimiento y el abandono. Decidido antes de recoger datos del piloto.</w:t>
            </w:r>
          </w:p>
        </w:tc>
        <w:tc>
          <w:tcPr>
            <w:tcW w:type="dxa" w:w="146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8"/>
                <w:szCs w:val="18"/>
              </w:rPr>
              <w:t xml:space="preserve">Adoptado</w:t>
            </w:r>
          </w:p>
        </w:tc>
      </w:tr>
    </w:tbl>
    <w:p>
      <w:r>
        <w:br/>
        <w:t xml:space="preserve"/>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5.5 Observaciones de consistencia</w:t>
      </w:r>
    </w:p>
    <w:p>
      <w:pPr>
        <w:spacing w:after="0" w:line="480" w:lineRule="auto"/>
        <w:ind w:left="720" w:hanging="360"/>
        <w:jc w:val="left"/>
      </w:pPr>
      <w:r>
        <w:rPr>
          <w:rFonts w:ascii="Times New Roman" w:cs="Times New Roman" w:eastAsia="Times New Roman" w:hAnsi="Times New Roman"/>
          <w:color w:val="000000"/>
          <w:sz w:val="24"/>
          <w:szCs w:val="24"/>
        </w:rPr>
        <w:t xml:space="preserve">• El corpus tiene 54 intenciones (44 de trámites y 10 conversacionales); la formulación de Tesis I menciona 50. Se documenta como diferencia de alcance.</w:t>
      </w:r>
    </w:p>
    <w:p>
      <w:pPr>
        <w:spacing w:after="0" w:line="480" w:lineRule="auto"/>
        <w:ind w:left="720" w:hanging="360"/>
        <w:jc w:val="left"/>
      </w:pPr>
      <w:r>
        <w:rPr>
          <w:rFonts w:ascii="Times New Roman" w:cs="Times New Roman" w:eastAsia="Times New Roman" w:hAnsi="Times New Roman"/>
          <w:color w:val="000000"/>
          <w:sz w:val="24"/>
          <w:szCs w:val="24"/>
        </w:rPr>
        <w:t xml:space="preserve">• OE1 y OE3, tal como se aprobaron en Tesis I, nombran a TramiFácil como canal de comparación. TramiFácil es una herramienta de uso interno del personal de la MPSR y los ciudadanos no la usan directamente; por eso la línea base ciudadana se mide solo para la atención presencial y TramiFácil se evalúa de forma documental (T02). Se declara como ajuste de alcance.</w:t>
      </w:r>
    </w:p>
    <w:p>
      <w:pPr>
        <w:spacing w:after="0" w:line="480" w:lineRule="auto"/>
        <w:ind w:left="720" w:hanging="360"/>
        <w:jc w:val="left"/>
      </w:pPr>
      <w:r>
        <w:rPr>
          <w:rFonts w:ascii="Times New Roman" w:cs="Times New Roman" w:eastAsia="Times New Roman" w:hAnsi="Times New Roman"/>
          <w:color w:val="000000"/>
          <w:sz w:val="24"/>
          <w:szCs w:val="24"/>
        </w:rPr>
        <w:t xml:space="preserve">• La línea base de P01 y el post-test de P12–P14 se simularon para demostrar el pipeline: no son hallazgos de campo.</w:t>
      </w:r>
    </w:p>
    <w:p>
      <w:pPr>
        <w:spacing w:after="0" w:line="480" w:lineRule="auto"/>
        <w:ind w:left="720" w:hanging="360"/>
        <w:jc w:val="left"/>
      </w:pPr>
      <w:r>
        <w:rPr>
          <w:rFonts w:ascii="Times New Roman" w:cs="Times New Roman" w:eastAsia="Times New Roman" w:hAnsi="Times New Roman"/>
          <w:color w:val="000000"/>
          <w:sz w:val="24"/>
          <w:szCs w:val="24"/>
        </w:rPr>
        <w:t xml:space="preserve">• En la sesión asistida la línea base es recordada y el tiempo con el asistente se mide en la misma visita: hay sesgo de recuerdo y de novedad, y la línea base mide el trámite mientras OE3 habla de consultas. Se declara como limitación.</w:t>
      </w:r>
    </w:p>
    <w:p>
      <w:pPr>
        <w:spacing w:after="0" w:line="480" w:lineRule="auto"/>
        <w:ind w:left="720" w:hanging="360"/>
        <w:jc w:val="left"/>
      </w:pPr>
      <w:r>
        <w:rPr>
          <w:rFonts w:ascii="Times New Roman" w:cs="Times New Roman" w:eastAsia="Times New Roman" w:hAnsi="Times New Roman"/>
          <w:color w:val="000000"/>
          <w:sz w:val="24"/>
          <w:szCs w:val="24"/>
        </w:rPr>
        <w:t xml:space="preserve">• El ítem 9 de satisfacción (pareado con P10) y la pregunta complementaria de tiempo presencial estimado para la consulta 1 son adiciones de la V1.3; el ítem de preferencia ya no menciona TramiFácil.</w:t>
      </w:r>
    </w:p>
    <w:p>
      <w:pPr>
        <w:spacing w:after="0" w:line="480" w:lineRule="auto"/>
        <w:ind w:left="720" w:hanging="360"/>
        <w:jc w:val="left"/>
      </w:pPr>
      <w:r>
        <w:rPr>
          <w:rFonts w:ascii="Times New Roman" w:cs="Times New Roman" w:eastAsia="Times New Roman" w:hAnsi="Times New Roman"/>
          <w:color w:val="000000"/>
          <w:sz w:val="24"/>
          <w:szCs w:val="24"/>
        </w:rPr>
        <w:t xml:space="preserve">• Los archivos corpus_metadata.csv y dataset_split.csv vigentes corresponden al corpus v3 (708 frases); las versiones v1 y v2 y la partición V1.1 original (corpus v2) están en corpus/historico/. Los resultados de P11.1 se obtuvieron con el corpus v3. La partición V1.1 ejecutada (corpus v2) es 486/81/81 = 75/12.5/12.5, no el 70/15/15 nominal.</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5.6 Criterio de presentación y limitaciones</w:t>
      </w:r>
    </w:p>
    <w:p>
      <w:pPr>
        <w:spacing w:after="0" w:line="480" w:lineRule="auto"/>
        <w:ind w:firstLine="720"/>
        <w:jc w:val="left"/>
      </w:pPr>
      <w:r>
        <w:rPr>
          <w:rFonts w:ascii="Times New Roman" w:cs="Times New Roman" w:eastAsia="Times New Roman" w:hAnsi="Times New Roman"/>
          <w:color w:val="000000"/>
          <w:sz w:val="24"/>
          <w:szCs w:val="24"/>
        </w:rPr>
        <w:t xml:space="preserve">Cada modificación se presenta con su estado real (ejecutado, simulado, planificado o adoptado). Si alguna no se ejecuta dentro del curso, se presenta como planificada, con su justificación, y no como ejecutada.</w:t>
      </w:r>
    </w:p>
    <w:p>
      <w:pPr>
        <w:spacing w:after="0" w:line="480" w:lineRule="auto"/>
        <w:ind w:left="720" w:hanging="360"/>
        <w:jc w:val="left"/>
      </w:pPr>
      <w:r>
        <w:rPr>
          <w:rFonts w:ascii="Times New Roman" w:cs="Times New Roman" w:eastAsia="Times New Roman" w:hAnsi="Times New Roman"/>
          <w:color w:val="000000"/>
          <w:sz w:val="24"/>
          <w:szCs w:val="24"/>
        </w:rPr>
        <w:t xml:space="preserve">• Los resultados actuales provienen de un corpus sintético y no son extrapolables al lenguaje real.</w:t>
      </w:r>
    </w:p>
    <w:p>
      <w:pPr>
        <w:spacing w:after="0" w:line="480" w:lineRule="auto"/>
        <w:ind w:left="720" w:hanging="360"/>
        <w:jc w:val="left"/>
      </w:pPr>
      <w:r>
        <w:rPr>
          <w:rFonts w:ascii="Times New Roman" w:cs="Times New Roman" w:eastAsia="Times New Roman" w:hAnsi="Times New Roman"/>
          <w:color w:val="000000"/>
          <w:sz w:val="24"/>
          <w:szCs w:val="24"/>
        </w:rPr>
        <w:t xml:space="preserve">• El lote 1 será una muestra de conveniencia con particiones pequeñas (alta varianza).</w:t>
      </w:r>
    </w:p>
    <w:p>
      <w:pPr>
        <w:spacing w:after="0" w:line="480" w:lineRule="auto"/>
        <w:ind w:left="720" w:hanging="360"/>
        <w:jc w:val="left"/>
      </w:pPr>
      <w:r>
        <w:rPr>
          <w:rFonts w:ascii="Times New Roman" w:cs="Times New Roman" w:eastAsia="Times New Roman" w:hAnsi="Times New Roman"/>
          <w:color w:val="000000"/>
          <w:sz w:val="24"/>
          <w:szCs w:val="24"/>
        </w:rPr>
        <w:t xml:space="preserve">• Las respuestas del chatbot (domain.yml) usan información típica de un TUPA municipal peruano y deben contrastarse con el TUPA vigente de la MPSR antes del pre-piloto formal.</w:t>
      </w:r>
    </w:p>
    <w:p>
      <w:pPr>
        <w:spacing w:after="0" w:line="480" w:lineRule="auto"/>
        <w:ind w:left="720" w:hanging="360"/>
        <w:jc w:val="left"/>
      </w:pPr>
      <w:r>
        <w:rPr>
          <w:rFonts w:ascii="Times New Roman" w:cs="Times New Roman" w:eastAsia="Times New Roman" w:hAnsi="Times New Roman"/>
          <w:color w:val="000000"/>
          <w:sz w:val="24"/>
          <w:szCs w:val="24"/>
        </w:rPr>
        <w:t xml:space="preserve">• El piloto exploratorio de n = 60 tiene un margen de error de aproximadamente 11.7 % (N ≈ 400, 95 %) y potencia del 80 % para efectos de d ≈ 0.37 o mayores: muestra viabilidad, no confirma hipótesis.</w:t>
      </w:r>
    </w:p>
    <w:sectPr>
      <w:headerReference w:type="default" r:id="rId11"/>
      <w:footerReference w:type="default" r:id="rId12"/>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18"/>
        <w:szCs w:val="18"/>
      </w:rPr>
      <w:t xml:space="preserve">Página </w:t>
    </w:r>
    <w:r>
      <w:rPr>
        <w:rFonts w:ascii="Times New Roman" w:cs="Times New Roman" w:eastAsia="Times New Roman" w:hAnsi="Times New Roman"/>
        <w:color w:val="00000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18"/>
        <w:szCs w:val="18"/>
      </w:rPr>
      <w:t xml:space="preserve">Página </w:t>
    </w:r>
    <w:r>
      <w:rPr>
        <w:rFonts w:ascii="Times New Roman" w:cs="Times New Roman" w:eastAsia="Times New Roman" w:hAnsi="Times New Roman"/>
        <w:color w:val="000000"/>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18"/>
        <w:szCs w:val="18"/>
      </w:rPr>
      <w:t xml:space="preserve">Página </w:t>
    </w:r>
    <w:r>
      <w:rPr>
        <w:rFonts w:ascii="Times New Roman" w:cs="Times New Roman" w:eastAsia="Times New Roman" w:hAnsi="Times New Roman"/>
        <w:color w:val="00000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595959"/>
        <w:sz w:val="18"/>
        <w:szCs w:val="18"/>
      </w:rPr>
      <w:t xml:space="preserve">Seminario de Tesis II | Chatbot IA – MPSR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595959"/>
        <w:sz w:val="18"/>
        <w:szCs w:val="18"/>
      </w:rPr>
      <w:t xml:space="preserve">Seminario de Tesis II | Chatbot IA – MPSR</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595959"/>
        <w:sz w:val="18"/>
        <w:szCs w:val="18"/>
      </w:rPr>
      <w:t xml:space="preserve">Seminario de Tesis II | Chatbot IA – MPSR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2026-10-04T02:27:26.301Z</dcterms:created>
  <dcterms:modified xsi:type="dcterms:W3CDTF">2026-10-04T02:27:26.301Z</dcterms:modified>
</cp:coreProperties>
</file>

<file path=docProps/custom.xml><?xml version="1.0" encoding="utf-8"?>
<Properties xmlns="http://schemas.openxmlformats.org/officeDocument/2006/custom-properties" xmlns:vt="http://schemas.openxmlformats.org/officeDocument/2006/docPropsVTypes"/>
</file>